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6AC" w:rsidRDefault="003336AC">
      <w:pPr>
        <w:rPr>
          <w:rFonts w:ascii="Arial" w:hAnsi="Arial"/>
          <w:sz w:val="24"/>
        </w:rPr>
      </w:pPr>
    </w:p>
    <w:p w:rsidR="003336AC" w:rsidRDefault="003336AC">
      <w:pPr>
        <w:rPr>
          <w:rFonts w:ascii="Arial" w:hAnsi="Arial"/>
          <w:sz w:val="24"/>
        </w:rPr>
      </w:pPr>
    </w:p>
    <w:p w:rsidR="003336AC" w:rsidRDefault="003336AC" w:rsidP="003336AC">
      <w:pPr>
        <w:spacing w:before="120" w:line="360" w:lineRule="auto"/>
        <w:ind w:firstLine="1418"/>
        <w:jc w:val="center"/>
      </w:pPr>
      <w:r w:rsidRPr="003336AC">
        <w:rPr>
          <w:rFonts w:ascii="Helvetica" w:hAnsi="Helvetica" w:cs="Helvetica"/>
          <w:b/>
          <w:color w:val="0070C0"/>
          <w:sz w:val="28"/>
          <w:szCs w:val="28"/>
        </w:rPr>
        <w:t>Novedades de AFIP respecto a opciones para la liquidación del SAC en los casos de personal en relación de dependencia que hubiese tenido retenciones en concepto de Impuesto a las ganancias.</w:t>
      </w:r>
      <w:r w:rsidRPr="003336AC">
        <w:t xml:space="preserve"> </w:t>
      </w:r>
    </w:p>
    <w:p w:rsidR="003336AC" w:rsidRDefault="003336AC" w:rsidP="003336AC">
      <w:pPr>
        <w:spacing w:before="120" w:line="360" w:lineRule="auto"/>
        <w:ind w:firstLine="1418"/>
        <w:jc w:val="center"/>
        <w:rPr>
          <w:rFonts w:ascii="Helvetica" w:hAnsi="Helvetica" w:cs="Helvetica"/>
          <w:b/>
          <w:color w:val="0070C0"/>
          <w:sz w:val="28"/>
          <w:szCs w:val="28"/>
        </w:rPr>
      </w:pPr>
      <w:r w:rsidRPr="003336AC">
        <w:rPr>
          <w:rFonts w:ascii="Helvetica" w:hAnsi="Helvetica" w:cs="Helvetica"/>
          <w:b/>
          <w:color w:val="0070C0"/>
          <w:sz w:val="28"/>
          <w:szCs w:val="28"/>
        </w:rPr>
        <w:t>Resolución General Nº 4.065/17 AFIP</w:t>
      </w:r>
    </w:p>
    <w:p w:rsidR="003336AC" w:rsidRPr="003336AC" w:rsidRDefault="003336AC" w:rsidP="003336AC">
      <w:pPr>
        <w:spacing w:before="120" w:line="360" w:lineRule="auto"/>
        <w:ind w:firstLine="1418"/>
        <w:jc w:val="center"/>
        <w:rPr>
          <w:rFonts w:ascii="Helvetica" w:hAnsi="Helvetica" w:cs="Helvetica"/>
          <w:b/>
          <w:color w:val="0070C0"/>
          <w:sz w:val="28"/>
          <w:szCs w:val="28"/>
        </w:rPr>
      </w:pPr>
    </w:p>
    <w:p w:rsidR="003336AC" w:rsidRPr="003336AC" w:rsidRDefault="003336AC" w:rsidP="003336AC">
      <w:pPr>
        <w:pStyle w:val="Textoindependiente"/>
        <w:spacing w:before="60" w:after="60" w:line="360" w:lineRule="auto"/>
        <w:ind w:firstLine="2268"/>
        <w:rPr>
          <w:szCs w:val="24"/>
          <w:lang w:val="es-AR"/>
        </w:rPr>
      </w:pPr>
      <w:r w:rsidRPr="003336AC">
        <w:rPr>
          <w:b/>
          <w:szCs w:val="24"/>
          <w:lang w:val="es-AR"/>
        </w:rPr>
        <w:t xml:space="preserve">Procedimiento opcional para el cálculo de la retención correspondiente al SAC, para el periodo fiscal 2017, a quienes no han adicionado las doceavas partes a la ganancia bruta de cada uno de los meses ya transcurridos. </w:t>
      </w:r>
    </w:p>
    <w:p w:rsidR="003336AC" w:rsidRPr="003336AC" w:rsidRDefault="003336AC" w:rsidP="003336AC">
      <w:pPr>
        <w:pStyle w:val="Textoindependiente"/>
        <w:spacing w:before="60" w:after="60" w:line="360" w:lineRule="auto"/>
        <w:ind w:firstLine="2268"/>
        <w:rPr>
          <w:b/>
          <w:szCs w:val="24"/>
          <w:lang w:val="es-AR"/>
        </w:rPr>
      </w:pPr>
      <w:r w:rsidRPr="003336AC">
        <w:rPr>
          <w:b/>
          <w:szCs w:val="24"/>
          <w:lang w:val="es-AR"/>
        </w:rPr>
        <w:t xml:space="preserve">Los mismos podrán optar por las siguientes opciones: </w:t>
      </w:r>
    </w:p>
    <w:p w:rsidR="003336AC" w:rsidRDefault="003336AC" w:rsidP="003336AC">
      <w:pPr>
        <w:spacing w:line="276" w:lineRule="auto"/>
        <w:jc w:val="both"/>
        <w:rPr>
          <w:rFonts w:ascii="Helvetica" w:hAnsi="Helvetica"/>
          <w:b/>
          <w:sz w:val="24"/>
          <w:szCs w:val="24"/>
        </w:rPr>
      </w:pPr>
    </w:p>
    <w:p w:rsidR="003336AC" w:rsidRDefault="003336AC" w:rsidP="003336AC">
      <w:pPr>
        <w:spacing w:line="276" w:lineRule="auto"/>
        <w:jc w:val="both"/>
        <w:rPr>
          <w:rFonts w:ascii="Helvetica" w:hAnsi="Helvetica"/>
          <w:b/>
          <w:sz w:val="24"/>
          <w:szCs w:val="24"/>
        </w:rPr>
      </w:pPr>
    </w:p>
    <w:p w:rsidR="003336AC" w:rsidRPr="00361398" w:rsidRDefault="003336AC" w:rsidP="003336AC">
      <w:pPr>
        <w:spacing w:line="276" w:lineRule="auto"/>
        <w:jc w:val="both"/>
        <w:rPr>
          <w:rFonts w:ascii="Helvetica" w:hAnsi="Helvetica"/>
          <w:b/>
          <w:sz w:val="24"/>
          <w:szCs w:val="24"/>
        </w:rPr>
      </w:pPr>
      <w:r w:rsidRPr="00361398">
        <w:rPr>
          <w:rFonts w:ascii="Helvetica" w:hAnsi="Helvetica"/>
          <w:b/>
          <w:sz w:val="24"/>
          <w:szCs w:val="24"/>
        </w:rPr>
        <w:t>EJEMPLO</w:t>
      </w:r>
      <w:r>
        <w:rPr>
          <w:rFonts w:ascii="Helvetica" w:hAnsi="Helvetica"/>
          <w:b/>
          <w:sz w:val="24"/>
          <w:szCs w:val="24"/>
        </w:rPr>
        <w:t>S:</w:t>
      </w:r>
      <w:r w:rsidRPr="00361398">
        <w:rPr>
          <w:rFonts w:ascii="Helvetica" w:hAnsi="Helvetica"/>
          <w:b/>
          <w:sz w:val="24"/>
          <w:szCs w:val="24"/>
        </w:rPr>
        <w:t xml:space="preserve"> Impuesto a las ganancias- 4ta categoría. </w:t>
      </w:r>
    </w:p>
    <w:p w:rsidR="003336AC" w:rsidRDefault="003336AC" w:rsidP="003336AC">
      <w:pPr>
        <w:spacing w:line="276" w:lineRule="auto"/>
        <w:jc w:val="both"/>
        <w:rPr>
          <w:rFonts w:ascii="Helvetica" w:hAnsi="Helvetica"/>
          <w:sz w:val="24"/>
          <w:szCs w:val="24"/>
        </w:rPr>
      </w:pPr>
    </w:p>
    <w:p w:rsidR="003336AC" w:rsidRPr="005B6400" w:rsidRDefault="003336AC" w:rsidP="003336AC">
      <w:pPr>
        <w:pStyle w:val="NormalWeb"/>
        <w:spacing w:before="0" w:beforeAutospacing="0" w:after="0" w:afterAutospacing="0" w:line="360" w:lineRule="auto"/>
        <w:ind w:left="712"/>
        <w:jc w:val="both"/>
        <w:textAlignment w:val="baseline"/>
        <w:rPr>
          <w:rFonts w:ascii="Helvetica" w:hAnsi="Helvetica" w:cs="Helvetica"/>
          <w:b/>
          <w:sz w:val="22"/>
          <w:szCs w:val="22"/>
          <w:lang w:val="es-AR"/>
        </w:rPr>
      </w:pPr>
      <w:r w:rsidRPr="005B6400">
        <w:rPr>
          <w:rFonts w:ascii="Helvetica" w:hAnsi="Helvetica" w:cs="Helvetica"/>
          <w:b/>
          <w:sz w:val="22"/>
          <w:szCs w:val="22"/>
          <w:lang w:val="es-AR"/>
        </w:rPr>
        <w:t xml:space="preserve">RESOLUCION GENERAL Nº 4030/17 AFIP </w:t>
      </w:r>
    </w:p>
    <w:p w:rsidR="003336AC" w:rsidRDefault="003336AC" w:rsidP="003336AC">
      <w:pPr>
        <w:pStyle w:val="NormalWeb"/>
        <w:spacing w:before="0" w:beforeAutospacing="0" w:after="0" w:afterAutospacing="0" w:line="360" w:lineRule="auto"/>
        <w:ind w:left="712"/>
        <w:jc w:val="both"/>
        <w:textAlignment w:val="baseline"/>
        <w:rPr>
          <w:rFonts w:ascii="Helvetica" w:hAnsi="Helvetica" w:cs="Helvetica"/>
          <w:sz w:val="22"/>
          <w:szCs w:val="22"/>
          <w:lang w:val="es-AR"/>
        </w:rPr>
      </w:pPr>
      <w:r w:rsidRPr="00E87C11">
        <w:rPr>
          <w:rFonts w:ascii="Helvetica" w:hAnsi="Helvetica" w:cs="Helvetica"/>
          <w:sz w:val="22"/>
          <w:szCs w:val="22"/>
          <w:lang w:val="es-AR"/>
        </w:rPr>
        <w:t xml:space="preserve">Respecto de la aplicación de la doceava parte del Sueldo Anual Complementario (SAC), el empleador podrá optar por dos opciones: </w:t>
      </w:r>
    </w:p>
    <w:p w:rsidR="003336AC" w:rsidRPr="00E87C11" w:rsidRDefault="003336AC" w:rsidP="003336AC">
      <w:pPr>
        <w:pStyle w:val="NormalWeb"/>
        <w:spacing w:before="0" w:beforeAutospacing="0" w:after="0" w:afterAutospacing="0" w:line="360" w:lineRule="auto"/>
        <w:ind w:left="712"/>
        <w:jc w:val="both"/>
        <w:textAlignment w:val="baseline"/>
        <w:rPr>
          <w:rFonts w:ascii="Helvetica" w:hAnsi="Helvetica" w:cs="Helvetica"/>
          <w:sz w:val="22"/>
          <w:szCs w:val="22"/>
          <w:lang w:val="es-AR"/>
        </w:rPr>
      </w:pPr>
    </w:p>
    <w:p w:rsidR="003336AC" w:rsidRDefault="003336AC" w:rsidP="003336AC">
      <w:pPr>
        <w:pStyle w:val="NormalWeb"/>
        <w:numPr>
          <w:ilvl w:val="1"/>
          <w:numId w:val="5"/>
        </w:numPr>
        <w:spacing w:before="0" w:beforeAutospacing="0" w:after="0" w:afterAutospacing="0" w:line="360" w:lineRule="auto"/>
        <w:ind w:left="1418" w:hanging="357"/>
        <w:jc w:val="both"/>
        <w:textAlignment w:val="baseline"/>
        <w:rPr>
          <w:rFonts w:ascii="Helvetica" w:hAnsi="Helvetica" w:cs="Helvetica"/>
          <w:sz w:val="22"/>
          <w:szCs w:val="22"/>
          <w:lang w:val="es-AR"/>
        </w:rPr>
      </w:pPr>
      <w:r w:rsidRPr="00E87C11">
        <w:rPr>
          <w:rFonts w:ascii="Helvetica" w:hAnsi="Helvetica" w:cs="Helvetica"/>
          <w:sz w:val="22"/>
          <w:szCs w:val="22"/>
          <w:lang w:val="es-AR"/>
        </w:rPr>
        <w:t>Considerar los importes realmente abonados por dichas cuotas y las deducciones que corresponda practicar sobre las mismas, en sustitución de las doceavas partes computadas en los meses del período fiscal de que se trate, transcurridos hasta el pago de tales conceptos</w:t>
      </w:r>
      <w:r>
        <w:rPr>
          <w:rFonts w:ascii="Helvetica" w:hAnsi="Helvetica" w:cs="Helvetica"/>
          <w:sz w:val="22"/>
          <w:szCs w:val="22"/>
          <w:lang w:val="es-AR"/>
        </w:rPr>
        <w:t>:</w:t>
      </w:r>
      <w:r w:rsidRPr="00E87C11">
        <w:rPr>
          <w:rFonts w:ascii="Helvetica" w:hAnsi="Helvetica" w:cs="Helvetica"/>
          <w:sz w:val="22"/>
          <w:szCs w:val="22"/>
          <w:lang w:val="es-AR"/>
        </w:rPr>
        <w:t xml:space="preserve"> </w:t>
      </w:r>
    </w:p>
    <w:p w:rsidR="003336AC" w:rsidRDefault="003336AC" w:rsidP="003336AC">
      <w:pPr>
        <w:pStyle w:val="NormalWeb"/>
        <w:numPr>
          <w:ilvl w:val="0"/>
          <w:numId w:val="6"/>
        </w:numPr>
        <w:spacing w:before="0" w:beforeAutospacing="0" w:after="0" w:afterAutospacing="0" w:line="360" w:lineRule="auto"/>
        <w:jc w:val="both"/>
        <w:textAlignment w:val="baseline"/>
        <w:rPr>
          <w:i/>
          <w:color w:val="808000"/>
        </w:rPr>
      </w:pPr>
      <w:r w:rsidRPr="00050D02">
        <w:rPr>
          <w:rFonts w:ascii="Helvetica" w:hAnsi="Helvetica" w:cs="Helvetica"/>
          <w:i/>
          <w:sz w:val="22"/>
          <w:szCs w:val="22"/>
          <w:lang w:val="es-AR"/>
        </w:rPr>
        <w:t xml:space="preserve">Planilla de cálculo de ganancias donde se discrimina la doceava parte </w:t>
      </w:r>
      <w:r>
        <w:rPr>
          <w:rFonts w:ascii="Helvetica" w:hAnsi="Helvetica" w:cs="Helvetica"/>
          <w:i/>
          <w:sz w:val="22"/>
          <w:szCs w:val="22"/>
          <w:lang w:val="es-AR"/>
        </w:rPr>
        <w:t xml:space="preserve">del Sueldo Anual Complementario neto </w:t>
      </w:r>
      <w:r w:rsidRPr="00050D02">
        <w:rPr>
          <w:rFonts w:ascii="Helvetica" w:hAnsi="Helvetica" w:cs="Helvetica"/>
          <w:i/>
          <w:sz w:val="22"/>
          <w:szCs w:val="22"/>
          <w:lang w:val="es-AR"/>
        </w:rPr>
        <w:t>en cada mes:</w:t>
      </w:r>
      <w:r>
        <w:rPr>
          <w:rFonts w:ascii="Helvetica" w:hAnsi="Helvetica" w:cs="Helvetica"/>
          <w:i/>
          <w:sz w:val="22"/>
          <w:szCs w:val="22"/>
          <w:lang w:val="es-AR"/>
        </w:rPr>
        <w:t xml:space="preserve"> </w:t>
      </w:r>
      <w:hyperlink r:id="rId7" w:history="1">
        <w:r w:rsidRPr="00050D02">
          <w:rPr>
            <w:rStyle w:val="Hipervnculo"/>
            <w:i/>
          </w:rPr>
          <w:t>http://www.redeseducacion.com.ar/consultoria/EJEMPLO-GANANCIAS-SAC-1.xls</w:t>
        </w:r>
      </w:hyperlink>
    </w:p>
    <w:p w:rsidR="003336AC" w:rsidRPr="00FD2862" w:rsidRDefault="003336AC" w:rsidP="003336AC">
      <w:pPr>
        <w:pStyle w:val="NormalWeb"/>
        <w:numPr>
          <w:ilvl w:val="0"/>
          <w:numId w:val="6"/>
        </w:numPr>
        <w:spacing w:before="0" w:beforeAutospacing="0" w:after="0" w:afterAutospacing="0" w:line="360" w:lineRule="auto"/>
        <w:jc w:val="both"/>
        <w:textAlignment w:val="baseline"/>
        <w:rPr>
          <w:rStyle w:val="Hipervnculo"/>
          <w:i/>
        </w:rPr>
      </w:pPr>
      <w:r w:rsidRPr="00FD2862">
        <w:rPr>
          <w:rFonts w:ascii="Helvetica" w:hAnsi="Helvetica" w:cs="Helvetica"/>
          <w:i/>
          <w:sz w:val="22"/>
          <w:szCs w:val="22"/>
          <w:lang w:val="es-AR"/>
        </w:rPr>
        <w:t>Planilla de cálculo de ganancias donde se discrimina la doceava parte en cada mes</w:t>
      </w:r>
      <w:r>
        <w:rPr>
          <w:rFonts w:ascii="Helvetica" w:hAnsi="Helvetica" w:cs="Helvetica"/>
          <w:i/>
          <w:sz w:val="22"/>
          <w:szCs w:val="22"/>
          <w:lang w:val="es-AR"/>
        </w:rPr>
        <w:t>,</w:t>
      </w:r>
      <w:r w:rsidRPr="00FD2862">
        <w:rPr>
          <w:rFonts w:ascii="Helvetica" w:hAnsi="Helvetica" w:cs="Helvetica"/>
          <w:i/>
          <w:sz w:val="22"/>
          <w:szCs w:val="22"/>
          <w:lang w:val="es-AR"/>
        </w:rPr>
        <w:t xml:space="preserve"> salvo en los meses</w:t>
      </w:r>
      <w:r>
        <w:rPr>
          <w:rFonts w:ascii="Helvetica" w:hAnsi="Helvetica" w:cs="Helvetica"/>
          <w:i/>
          <w:sz w:val="22"/>
          <w:szCs w:val="22"/>
          <w:lang w:val="es-AR"/>
        </w:rPr>
        <w:t xml:space="preserve"> de junio y diciembre</w:t>
      </w:r>
      <w:r w:rsidRPr="00FD2862">
        <w:rPr>
          <w:rFonts w:ascii="Helvetica" w:hAnsi="Helvetica" w:cs="Helvetica"/>
          <w:i/>
          <w:sz w:val="22"/>
          <w:szCs w:val="22"/>
          <w:lang w:val="es-AR"/>
        </w:rPr>
        <w:t>, que se calculó el valor real</w:t>
      </w:r>
      <w:r>
        <w:rPr>
          <w:rFonts w:ascii="Helvetica" w:hAnsi="Helvetica" w:cs="Helvetica"/>
          <w:i/>
          <w:sz w:val="22"/>
          <w:szCs w:val="22"/>
          <w:lang w:val="es-AR"/>
        </w:rPr>
        <w:t xml:space="preserve"> </w:t>
      </w:r>
      <w:r w:rsidRPr="00FD2862">
        <w:rPr>
          <w:rFonts w:ascii="Helvetica" w:hAnsi="Helvetica" w:cs="Helvetica"/>
          <w:i/>
          <w:sz w:val="22"/>
          <w:szCs w:val="22"/>
          <w:lang w:val="es-AR"/>
        </w:rPr>
        <w:t>abonado:</w:t>
      </w:r>
      <w:r>
        <w:rPr>
          <w:rFonts w:ascii="Helvetica" w:hAnsi="Helvetica" w:cs="Helvetica"/>
          <w:i/>
          <w:sz w:val="22"/>
          <w:szCs w:val="22"/>
          <w:lang w:val="es-AR"/>
        </w:rPr>
        <w:t xml:space="preserve"> </w:t>
      </w:r>
      <w:hyperlink r:id="rId8" w:history="1">
        <w:r w:rsidRPr="00FD2862">
          <w:rPr>
            <w:rStyle w:val="Hipervnculo"/>
            <w:i/>
          </w:rPr>
          <w:t>http://www.redeseducacion.com.ar/consultoria/EJEMPLO-GANANCIAS-SAC-2.xls</w:t>
        </w:r>
      </w:hyperlink>
    </w:p>
    <w:p w:rsidR="003336AC" w:rsidRPr="00050D02" w:rsidRDefault="003336AC" w:rsidP="003336AC">
      <w:pPr>
        <w:pStyle w:val="NormalWeb"/>
        <w:spacing w:before="0" w:beforeAutospacing="0" w:after="0" w:afterAutospacing="0" w:line="360" w:lineRule="auto"/>
        <w:ind w:left="1418"/>
        <w:jc w:val="both"/>
        <w:textAlignment w:val="baseline"/>
        <w:rPr>
          <w:rFonts w:ascii="Helvetica" w:hAnsi="Helvetica" w:cs="Helvetica"/>
          <w:i/>
          <w:sz w:val="22"/>
          <w:szCs w:val="22"/>
          <w:lang w:val="es-AR"/>
        </w:rPr>
      </w:pPr>
    </w:p>
    <w:p w:rsidR="003336AC" w:rsidRDefault="003336AC" w:rsidP="003336AC">
      <w:pPr>
        <w:spacing w:line="276" w:lineRule="auto"/>
        <w:jc w:val="both"/>
        <w:rPr>
          <w:rFonts w:ascii="Helvetica" w:hAnsi="Helvetica"/>
          <w:sz w:val="24"/>
          <w:szCs w:val="24"/>
        </w:rPr>
      </w:pPr>
    </w:p>
    <w:p w:rsidR="003336AC" w:rsidRPr="00E87C11" w:rsidRDefault="003336AC" w:rsidP="003336AC">
      <w:pPr>
        <w:pStyle w:val="NormalWeb"/>
        <w:numPr>
          <w:ilvl w:val="1"/>
          <w:numId w:val="5"/>
        </w:numPr>
        <w:spacing w:before="0" w:beforeAutospacing="0" w:after="0" w:afterAutospacing="0" w:line="360" w:lineRule="auto"/>
        <w:ind w:left="1418" w:hanging="357"/>
        <w:jc w:val="both"/>
        <w:textAlignment w:val="baseline"/>
        <w:rPr>
          <w:rFonts w:ascii="Helvetica" w:hAnsi="Helvetica" w:cs="Helvetica"/>
          <w:sz w:val="22"/>
          <w:szCs w:val="22"/>
          <w:lang w:val="es-AR"/>
        </w:rPr>
      </w:pPr>
      <w:r w:rsidRPr="00E87C11">
        <w:rPr>
          <w:rFonts w:ascii="Helvetica" w:hAnsi="Helvetica" w:cs="Helvetica"/>
          <w:sz w:val="22"/>
          <w:szCs w:val="22"/>
          <w:lang w:val="es-AR"/>
        </w:rPr>
        <w:t xml:space="preserve">Utilizar la metodología mencionada en los párrafos anteriores y, luego, en la </w:t>
      </w:r>
      <w:r w:rsidRPr="00E67717">
        <w:rPr>
          <w:rFonts w:ascii="Helvetica" w:hAnsi="Helvetica" w:cs="Helvetica"/>
          <w:b/>
          <w:sz w:val="22"/>
          <w:szCs w:val="22"/>
          <w:u w:val="single"/>
          <w:lang w:val="es-AR"/>
        </w:rPr>
        <w:t>liquidación anual o final</w:t>
      </w:r>
      <w:r>
        <w:rPr>
          <w:rFonts w:ascii="Helvetica" w:hAnsi="Helvetica" w:cs="Helvetica"/>
          <w:b/>
          <w:sz w:val="22"/>
          <w:szCs w:val="22"/>
          <w:u w:val="single"/>
          <w:lang w:val="es-AR"/>
        </w:rPr>
        <w:t xml:space="preserve"> (Ex-Form.649)</w:t>
      </w:r>
      <w:r w:rsidRPr="00E87C11">
        <w:rPr>
          <w:rFonts w:ascii="Helvetica" w:hAnsi="Helvetica" w:cs="Helvetica"/>
          <w:sz w:val="22"/>
          <w:szCs w:val="22"/>
          <w:lang w:val="es-AR"/>
        </w:rPr>
        <w:t>, según corresponda, efectuada conforme el Artículo 21, considerar el Sueldo Anual Complementario percibido en el período fiscal y las deducciones correspondientes a los conceptos informados por el beneficiario de las rentas, en reemplazo de las doceavas partes computadas en cada mes.</w:t>
      </w:r>
    </w:p>
    <w:p w:rsidR="003336AC" w:rsidRPr="00296FF7" w:rsidRDefault="003336AC" w:rsidP="003336AC">
      <w:pPr>
        <w:pStyle w:val="NormalWeb"/>
        <w:numPr>
          <w:ilvl w:val="0"/>
          <w:numId w:val="6"/>
        </w:numPr>
        <w:spacing w:before="0" w:beforeAutospacing="0" w:after="0" w:afterAutospacing="0" w:line="360" w:lineRule="auto"/>
        <w:jc w:val="both"/>
        <w:textAlignment w:val="baseline"/>
        <w:rPr>
          <w:rFonts w:ascii="Helvetica" w:hAnsi="Helvetica" w:cs="Helvetica"/>
          <w:i/>
          <w:iCs/>
          <w:color w:val="808000"/>
          <w:lang w:eastAsia="en-US"/>
        </w:rPr>
      </w:pPr>
      <w:r w:rsidRPr="00296FF7">
        <w:rPr>
          <w:rFonts w:ascii="Helvetica" w:hAnsi="Helvetica" w:cs="Helvetica"/>
          <w:i/>
          <w:sz w:val="22"/>
          <w:szCs w:val="22"/>
          <w:lang w:val="es-AR"/>
        </w:rPr>
        <w:t xml:space="preserve">Liquidación Final de ganancias donde se refleja la diferencia a retener en febrero del año siguiente por agregar a la liquidación los valores reales pagados por la primera y segunda cuota del SAC:   </w:t>
      </w:r>
      <w:hyperlink r:id="rId9" w:history="1">
        <w:r w:rsidRPr="00296FF7">
          <w:rPr>
            <w:rStyle w:val="Hipervnculo"/>
            <w:rFonts w:ascii="Helvetica" w:hAnsi="Helvetica" w:cs="Helvetica"/>
            <w:i/>
            <w:iCs/>
          </w:rPr>
          <w:t>http://www.redeseducacion.com.ar/consultoria/EJEMPLO-GANANCIAS-LIQ-FINAL.xls</w:t>
        </w:r>
      </w:hyperlink>
    </w:p>
    <w:p w:rsidR="003336AC" w:rsidRPr="00296FF7" w:rsidRDefault="003336AC" w:rsidP="003336AC">
      <w:pPr>
        <w:pStyle w:val="NormalWeb"/>
        <w:spacing w:before="0" w:beforeAutospacing="0" w:after="0" w:afterAutospacing="0" w:line="360" w:lineRule="auto"/>
        <w:jc w:val="both"/>
        <w:textAlignment w:val="baseline"/>
        <w:rPr>
          <w:rStyle w:val="Hipervnculo"/>
          <w:rFonts w:ascii="Helvetica" w:hAnsi="Helvetica" w:cs="Helvetica"/>
        </w:rPr>
      </w:pPr>
      <w:hyperlink r:id="rId10" w:history="1"/>
    </w:p>
    <w:p w:rsidR="003336AC" w:rsidRPr="00FD2862" w:rsidRDefault="003336AC" w:rsidP="003336AC">
      <w:pPr>
        <w:rPr>
          <w:lang w:val="es-ES"/>
        </w:rPr>
      </w:pPr>
    </w:p>
    <w:p w:rsidR="003336AC" w:rsidRDefault="003336AC" w:rsidP="003336AC"/>
    <w:p w:rsidR="003336AC" w:rsidRPr="00E67717" w:rsidRDefault="003336AC" w:rsidP="003336AC">
      <w:pPr>
        <w:pStyle w:val="Textoindependiente"/>
        <w:spacing w:before="60" w:after="60" w:line="360" w:lineRule="auto"/>
        <w:ind w:firstLine="2268"/>
        <w:rPr>
          <w:b/>
          <w:sz w:val="10"/>
          <w:szCs w:val="10"/>
          <w:lang w:val="es-AR"/>
        </w:rPr>
      </w:pPr>
      <w:r w:rsidRPr="00E67717">
        <w:rPr>
          <w:b/>
          <w:lang w:val="es-AR"/>
        </w:rPr>
        <w:t>PARA QUIENES NO HAN ADICIONADO LAS DOCEAVAS PARTES DE LA GANANCIA BRUTA DE CADA UNO DE LOS MESES YA TRANSCURRIDOS PODRÀN OPTAR POR LAS SIGUIENTES OPCIONES</w:t>
      </w:r>
      <w:r w:rsidRPr="00E67717">
        <w:rPr>
          <w:b/>
          <w:sz w:val="22"/>
          <w:szCs w:val="22"/>
          <w:lang w:val="es-AR"/>
        </w:rPr>
        <w:t xml:space="preserve">: </w:t>
      </w:r>
    </w:p>
    <w:p w:rsidR="003336AC" w:rsidRDefault="003336AC" w:rsidP="003336AC">
      <w:pPr>
        <w:pStyle w:val="NormalWeb"/>
        <w:spacing w:before="0" w:beforeAutospacing="0" w:after="0" w:afterAutospacing="0" w:line="360" w:lineRule="auto"/>
        <w:jc w:val="both"/>
        <w:rPr>
          <w:rFonts w:ascii="Helvetica" w:hAnsi="Helvetica"/>
          <w:caps/>
          <w:sz w:val="22"/>
          <w:lang w:val="es-AR"/>
        </w:rPr>
      </w:pPr>
    </w:p>
    <w:p w:rsidR="003336AC" w:rsidRDefault="003336AC" w:rsidP="003336AC">
      <w:pPr>
        <w:pStyle w:val="NormalWeb"/>
        <w:spacing w:before="0" w:beforeAutospacing="0" w:after="0" w:afterAutospacing="0" w:line="360" w:lineRule="auto"/>
        <w:jc w:val="both"/>
        <w:rPr>
          <w:rFonts w:ascii="Helvetica" w:hAnsi="Helvetica" w:cs="Helvetica"/>
          <w:sz w:val="22"/>
          <w:szCs w:val="22"/>
        </w:rPr>
      </w:pPr>
      <w:r>
        <w:rPr>
          <w:rFonts w:ascii="Helvetica" w:hAnsi="Helvetica"/>
          <w:caps/>
          <w:sz w:val="22"/>
          <w:lang w:val="es-AR"/>
        </w:rPr>
        <w:tab/>
      </w:r>
      <w:r>
        <w:rPr>
          <w:rFonts w:ascii="Helvetica" w:hAnsi="Helvetica"/>
          <w:caps/>
          <w:sz w:val="22"/>
          <w:lang w:val="es-AR"/>
        </w:rPr>
        <w:tab/>
      </w:r>
      <w:r w:rsidRPr="00E643E8">
        <w:rPr>
          <w:rFonts w:ascii="Helvetica" w:hAnsi="Helvetica" w:cs="Helvetica"/>
          <w:sz w:val="22"/>
          <w:szCs w:val="22"/>
        </w:rPr>
        <w:t xml:space="preserve">a) Adicionar </w:t>
      </w:r>
      <w:r>
        <w:rPr>
          <w:rFonts w:ascii="Helvetica" w:hAnsi="Helvetica" w:cs="Helvetica"/>
          <w:sz w:val="22"/>
          <w:szCs w:val="22"/>
        </w:rPr>
        <w:t xml:space="preserve">a la ganancia bruta </w:t>
      </w:r>
      <w:r w:rsidRPr="00E643E8">
        <w:rPr>
          <w:rFonts w:ascii="Helvetica" w:hAnsi="Helvetica" w:cs="Helvetica"/>
          <w:sz w:val="22"/>
          <w:szCs w:val="22"/>
        </w:rPr>
        <w:t>las doceavas partes en concepto de S</w:t>
      </w:r>
      <w:r>
        <w:rPr>
          <w:rFonts w:ascii="Helvetica" w:hAnsi="Helvetica" w:cs="Helvetica"/>
          <w:sz w:val="22"/>
          <w:szCs w:val="22"/>
        </w:rPr>
        <w:t>.</w:t>
      </w:r>
      <w:r w:rsidRPr="00E643E8">
        <w:rPr>
          <w:rFonts w:ascii="Helvetica" w:hAnsi="Helvetica" w:cs="Helvetica"/>
          <w:sz w:val="22"/>
          <w:szCs w:val="22"/>
        </w:rPr>
        <w:t>A</w:t>
      </w:r>
      <w:r>
        <w:rPr>
          <w:rFonts w:ascii="Helvetica" w:hAnsi="Helvetica" w:cs="Helvetica"/>
          <w:sz w:val="22"/>
          <w:szCs w:val="22"/>
        </w:rPr>
        <w:t>.</w:t>
      </w:r>
      <w:r w:rsidRPr="00E643E8">
        <w:rPr>
          <w:rFonts w:ascii="Helvetica" w:hAnsi="Helvetica" w:cs="Helvetica"/>
          <w:sz w:val="22"/>
          <w:szCs w:val="22"/>
        </w:rPr>
        <w:t>C</w:t>
      </w:r>
      <w:r>
        <w:rPr>
          <w:rFonts w:ascii="Helvetica" w:hAnsi="Helvetica" w:cs="Helvetica"/>
          <w:sz w:val="22"/>
          <w:szCs w:val="22"/>
        </w:rPr>
        <w:t xml:space="preserve">. </w:t>
      </w:r>
      <w:r w:rsidRPr="00E643E8">
        <w:rPr>
          <w:rFonts w:ascii="Helvetica" w:hAnsi="Helvetica" w:cs="Helvetica"/>
          <w:sz w:val="22"/>
          <w:szCs w:val="22"/>
        </w:rPr>
        <w:t>de los</w:t>
      </w:r>
      <w:r>
        <w:rPr>
          <w:rFonts w:ascii="Helvetica" w:hAnsi="Helvetica" w:cs="Helvetica"/>
          <w:sz w:val="22"/>
          <w:szCs w:val="22"/>
        </w:rPr>
        <w:t xml:space="preserve"> </w:t>
      </w:r>
      <w:r w:rsidRPr="00E643E8">
        <w:rPr>
          <w:rFonts w:ascii="Helvetica" w:hAnsi="Helvetica" w:cs="Helvetica"/>
          <w:sz w:val="22"/>
          <w:szCs w:val="22"/>
        </w:rPr>
        <w:t>meses</w:t>
      </w:r>
      <w:r>
        <w:rPr>
          <w:rFonts w:ascii="Helvetica" w:hAnsi="Helvetica" w:cs="Helvetica"/>
          <w:sz w:val="22"/>
          <w:szCs w:val="22"/>
        </w:rPr>
        <w:t xml:space="preserve"> transcurridos</w:t>
      </w:r>
      <w:r w:rsidRPr="00E643E8">
        <w:rPr>
          <w:rFonts w:ascii="Helvetica" w:hAnsi="Helvetica" w:cs="Helvetica"/>
          <w:sz w:val="22"/>
          <w:szCs w:val="22"/>
        </w:rPr>
        <w:t xml:space="preserve"> proporcionalmente en el cálculo de la determinación del importe a retener de </w:t>
      </w:r>
    </w:p>
    <w:p w:rsidR="003336AC" w:rsidRDefault="003336AC" w:rsidP="003336AC">
      <w:pPr>
        <w:pStyle w:val="NormalWeb"/>
        <w:spacing w:before="0" w:beforeAutospacing="0" w:after="0" w:afterAutospacing="0" w:line="360" w:lineRule="auto"/>
        <w:jc w:val="both"/>
        <w:rPr>
          <w:rFonts w:ascii="Helvetica" w:hAnsi="Helvetica" w:cs="Helvetica"/>
          <w:sz w:val="22"/>
          <w:szCs w:val="22"/>
        </w:rPr>
      </w:pPr>
      <w:r>
        <w:rPr>
          <w:rFonts w:ascii="Helvetica" w:hAnsi="Helvetica" w:cs="Helvetica"/>
          <w:sz w:val="22"/>
          <w:szCs w:val="22"/>
        </w:rPr>
        <w:t xml:space="preserve">                                                                                </w:t>
      </w:r>
    </w:p>
    <w:p w:rsidR="003336AC" w:rsidRDefault="003336AC" w:rsidP="003336AC">
      <w:pPr>
        <w:pStyle w:val="NormalWeb"/>
        <w:spacing w:before="0" w:beforeAutospacing="0" w:after="0" w:afterAutospacing="0" w:line="360" w:lineRule="auto"/>
        <w:jc w:val="both"/>
        <w:rPr>
          <w:rFonts w:ascii="Helvetica" w:hAnsi="Helvetica" w:cs="Helvetica"/>
          <w:sz w:val="22"/>
          <w:szCs w:val="22"/>
        </w:rPr>
      </w:pPr>
    </w:p>
    <w:p w:rsidR="003336AC" w:rsidRDefault="003336AC" w:rsidP="003336AC">
      <w:pPr>
        <w:pStyle w:val="NormalWeb"/>
        <w:spacing w:before="0" w:beforeAutospacing="0" w:after="0" w:afterAutospacing="0" w:line="360" w:lineRule="auto"/>
        <w:jc w:val="both"/>
        <w:rPr>
          <w:rFonts w:ascii="Helvetica" w:hAnsi="Helvetica" w:cs="Helvetica"/>
          <w:sz w:val="22"/>
          <w:szCs w:val="22"/>
        </w:rPr>
      </w:pPr>
      <w:proofErr w:type="gramStart"/>
      <w:r w:rsidRPr="00E643E8">
        <w:rPr>
          <w:rFonts w:ascii="Helvetica" w:hAnsi="Helvetica" w:cs="Helvetica"/>
          <w:sz w:val="22"/>
          <w:szCs w:val="22"/>
        </w:rPr>
        <w:t>los</w:t>
      </w:r>
      <w:proofErr w:type="gramEnd"/>
      <w:r w:rsidRPr="00E643E8">
        <w:rPr>
          <w:rFonts w:ascii="Helvetica" w:hAnsi="Helvetica" w:cs="Helvetica"/>
          <w:sz w:val="22"/>
          <w:szCs w:val="22"/>
        </w:rPr>
        <w:t xml:space="preserve"> meses que resten hasta la finalización del período fiscal 2017. El mismo procedimiento deberá seguirse respecto de las deduccione</w:t>
      </w:r>
      <w:r>
        <w:rPr>
          <w:rFonts w:ascii="Helvetica" w:hAnsi="Helvetica" w:cs="Helvetica"/>
          <w:sz w:val="22"/>
          <w:szCs w:val="22"/>
        </w:rPr>
        <w:t>s a computar por dicho concepto:</w:t>
      </w:r>
    </w:p>
    <w:p w:rsidR="003336AC" w:rsidRDefault="003336AC" w:rsidP="003336AC">
      <w:pPr>
        <w:rPr>
          <w:color w:val="808000"/>
        </w:rPr>
      </w:pPr>
    </w:p>
    <w:p w:rsidR="003336AC" w:rsidRPr="007243D3" w:rsidRDefault="003336AC" w:rsidP="003336AC">
      <w:pPr>
        <w:jc w:val="center"/>
        <w:rPr>
          <w:rStyle w:val="Hipervnculo"/>
          <w:rFonts w:ascii="Verdana" w:hAnsi="Verdana"/>
          <w:i/>
          <w:lang w:val="es-ES"/>
        </w:rPr>
      </w:pPr>
      <w:hyperlink r:id="rId11" w:history="1">
        <w:r w:rsidRPr="007243D3">
          <w:rPr>
            <w:rStyle w:val="Hipervnculo"/>
            <w:rFonts w:ascii="Verdana" w:hAnsi="Verdana"/>
            <w:i/>
            <w:lang w:val="es-ES"/>
          </w:rPr>
          <w:t>http://www.redeseducacion.com.ar/consultoria/EJEMPLO-GANANCIAS-SAC-3.xls</w:t>
        </w:r>
      </w:hyperlink>
    </w:p>
    <w:p w:rsidR="003336AC" w:rsidRPr="00E67717" w:rsidRDefault="003336AC" w:rsidP="003336AC">
      <w:pPr>
        <w:pStyle w:val="NormalWeb"/>
        <w:spacing w:before="0" w:beforeAutospacing="0" w:after="0" w:afterAutospacing="0" w:line="360" w:lineRule="auto"/>
        <w:jc w:val="both"/>
        <w:rPr>
          <w:rFonts w:ascii="Helvetica" w:hAnsi="Helvetica" w:cs="Helvetica"/>
          <w:sz w:val="22"/>
          <w:szCs w:val="22"/>
          <w:lang w:val="es-AR"/>
        </w:rPr>
      </w:pPr>
    </w:p>
    <w:p w:rsidR="003336AC" w:rsidRDefault="003336AC" w:rsidP="003336AC">
      <w:pPr>
        <w:pStyle w:val="NormalWeb"/>
        <w:spacing w:before="0" w:beforeAutospacing="0" w:after="0" w:afterAutospacing="0" w:line="360" w:lineRule="auto"/>
        <w:jc w:val="both"/>
        <w:rPr>
          <w:rFonts w:ascii="Helvetica" w:hAnsi="Helvetica" w:cs="Helvetica"/>
          <w:sz w:val="22"/>
          <w:szCs w:val="22"/>
        </w:rPr>
      </w:pPr>
      <w:r>
        <w:rPr>
          <w:rFonts w:ascii="Helvetica" w:hAnsi="Helvetica" w:cs="Helvetica"/>
          <w:sz w:val="22"/>
          <w:szCs w:val="22"/>
        </w:rPr>
        <w:tab/>
      </w:r>
      <w:r w:rsidRPr="00E643E8">
        <w:rPr>
          <w:rFonts w:ascii="Helvetica" w:hAnsi="Helvetica" w:cs="Helvetica"/>
          <w:sz w:val="22"/>
          <w:szCs w:val="22"/>
        </w:rPr>
        <w:t xml:space="preserve">b) Adicionar </w:t>
      </w:r>
      <w:r>
        <w:rPr>
          <w:rFonts w:ascii="Helvetica" w:hAnsi="Helvetica" w:cs="Helvetica"/>
          <w:sz w:val="22"/>
          <w:szCs w:val="22"/>
        </w:rPr>
        <w:t xml:space="preserve">a la ganancia bruta </w:t>
      </w:r>
      <w:r w:rsidRPr="00E643E8">
        <w:rPr>
          <w:rFonts w:ascii="Helvetica" w:hAnsi="Helvetica" w:cs="Helvetica"/>
          <w:sz w:val="22"/>
          <w:szCs w:val="22"/>
        </w:rPr>
        <w:t>las aludidas doceavas partes en la primera liquidación que se efectúe con posterioridad al</w:t>
      </w:r>
      <w:r>
        <w:rPr>
          <w:rFonts w:ascii="Helvetica" w:hAnsi="Helvetica" w:cs="Helvetica"/>
          <w:sz w:val="22"/>
          <w:szCs w:val="22"/>
        </w:rPr>
        <w:t xml:space="preserve"> 08/06/17</w:t>
      </w:r>
      <w:r w:rsidRPr="00E643E8">
        <w:rPr>
          <w:rFonts w:ascii="Helvetica" w:hAnsi="Helvetica" w:cs="Helvetica"/>
          <w:sz w:val="22"/>
          <w:szCs w:val="22"/>
        </w:rPr>
        <w:t xml:space="preserve">, y calcular la retención </w:t>
      </w:r>
      <w:r>
        <w:rPr>
          <w:rFonts w:ascii="Helvetica" w:hAnsi="Helvetica" w:cs="Helvetica"/>
          <w:sz w:val="22"/>
          <w:szCs w:val="22"/>
        </w:rPr>
        <w:t>según la normativa vigente:</w:t>
      </w:r>
    </w:p>
    <w:p w:rsidR="003336AC" w:rsidRPr="007243D3" w:rsidRDefault="003336AC" w:rsidP="003336AC">
      <w:pPr>
        <w:pStyle w:val="NormalWeb"/>
        <w:spacing w:before="0" w:beforeAutospacing="0" w:after="0" w:afterAutospacing="0" w:line="360" w:lineRule="auto"/>
        <w:jc w:val="center"/>
        <w:rPr>
          <w:rStyle w:val="Hipervnculo"/>
          <w:i/>
        </w:rPr>
      </w:pPr>
      <w:hyperlink r:id="rId12" w:history="1">
        <w:r w:rsidRPr="007243D3">
          <w:rPr>
            <w:rStyle w:val="Hipervnculo"/>
            <w:i/>
          </w:rPr>
          <w:t>http://www.redeseducacion.com.ar/consultoria/EJEMPLO-GANANCIAS-SAC-4.xls</w:t>
        </w:r>
      </w:hyperlink>
    </w:p>
    <w:p w:rsidR="003336AC" w:rsidRPr="007243D3" w:rsidRDefault="003336AC" w:rsidP="003336AC">
      <w:pPr>
        <w:pStyle w:val="NormalWeb"/>
        <w:spacing w:before="0" w:beforeAutospacing="0" w:after="0" w:afterAutospacing="0" w:line="360" w:lineRule="auto"/>
        <w:jc w:val="both"/>
        <w:rPr>
          <w:rFonts w:ascii="Helvetica" w:hAnsi="Helvetica" w:cs="Helvetica"/>
          <w:sz w:val="22"/>
          <w:szCs w:val="22"/>
          <w:lang w:val="es-AR"/>
        </w:rPr>
      </w:pPr>
    </w:p>
    <w:p w:rsidR="003336AC" w:rsidRDefault="003336AC" w:rsidP="003336AC">
      <w:pPr>
        <w:spacing w:line="360" w:lineRule="auto"/>
        <w:jc w:val="both"/>
        <w:rPr>
          <w:rFonts w:ascii="Helvetica" w:hAnsi="Helvetica" w:cs="Helvetica"/>
          <w:sz w:val="22"/>
          <w:szCs w:val="22"/>
        </w:rPr>
      </w:pPr>
      <w:r>
        <w:rPr>
          <w:rFonts w:ascii="Helvetica" w:hAnsi="Helvetica" w:cs="Helvetica"/>
          <w:sz w:val="22"/>
          <w:szCs w:val="22"/>
        </w:rPr>
        <w:tab/>
      </w:r>
      <w:r>
        <w:rPr>
          <w:rFonts w:ascii="Helvetica" w:hAnsi="Helvetica" w:cs="Helvetica"/>
          <w:sz w:val="22"/>
          <w:szCs w:val="22"/>
        </w:rPr>
        <w:tab/>
      </w:r>
      <w:r w:rsidRPr="00E643E8">
        <w:rPr>
          <w:rFonts w:ascii="Helvetica" w:hAnsi="Helvetica" w:cs="Helvetica"/>
          <w:sz w:val="22"/>
          <w:szCs w:val="22"/>
        </w:rPr>
        <w:t>c) En el mes en que se pague la primera cuota del S</w:t>
      </w:r>
      <w:r>
        <w:rPr>
          <w:rFonts w:ascii="Helvetica" w:hAnsi="Helvetica" w:cs="Helvetica"/>
          <w:sz w:val="22"/>
          <w:szCs w:val="22"/>
        </w:rPr>
        <w:t>.</w:t>
      </w:r>
      <w:r w:rsidRPr="00E643E8">
        <w:rPr>
          <w:rFonts w:ascii="Helvetica" w:hAnsi="Helvetica" w:cs="Helvetica"/>
          <w:sz w:val="22"/>
          <w:szCs w:val="22"/>
        </w:rPr>
        <w:t>A</w:t>
      </w:r>
      <w:r>
        <w:rPr>
          <w:rFonts w:ascii="Helvetica" w:hAnsi="Helvetica" w:cs="Helvetica"/>
          <w:sz w:val="22"/>
          <w:szCs w:val="22"/>
        </w:rPr>
        <w:t>.</w:t>
      </w:r>
      <w:r w:rsidRPr="00E643E8">
        <w:rPr>
          <w:rFonts w:ascii="Helvetica" w:hAnsi="Helvetica" w:cs="Helvetica"/>
          <w:sz w:val="22"/>
          <w:szCs w:val="22"/>
        </w:rPr>
        <w:t>C</w:t>
      </w:r>
      <w:r>
        <w:rPr>
          <w:rFonts w:ascii="Helvetica" w:hAnsi="Helvetica" w:cs="Helvetica"/>
          <w:sz w:val="22"/>
          <w:szCs w:val="22"/>
        </w:rPr>
        <w:t>.</w:t>
      </w:r>
      <w:r w:rsidRPr="00E643E8">
        <w:rPr>
          <w:rFonts w:ascii="Helvetica" w:hAnsi="Helvetica" w:cs="Helvetica"/>
          <w:sz w:val="22"/>
          <w:szCs w:val="22"/>
        </w:rPr>
        <w:t xml:space="preserve">, efectuar la determinación de la retención en función del importe realmente abonado y en los meses posteriores, continuar con el procedimiento de adicionar la doceava parte </w:t>
      </w:r>
      <w:r>
        <w:rPr>
          <w:rFonts w:ascii="Helvetica" w:hAnsi="Helvetica" w:cs="Helvetica"/>
          <w:sz w:val="22"/>
          <w:szCs w:val="22"/>
        </w:rPr>
        <w:t xml:space="preserve">del SAC </w:t>
      </w:r>
      <w:r w:rsidRPr="00E643E8">
        <w:rPr>
          <w:rFonts w:ascii="Helvetica" w:hAnsi="Helvetica" w:cs="Helvetica"/>
          <w:sz w:val="22"/>
          <w:szCs w:val="22"/>
        </w:rPr>
        <w:t>a la ganancia bruta de tales meses, así como la detracción de la doceava parte de las deducciones respectivas</w:t>
      </w:r>
      <w:r>
        <w:rPr>
          <w:rFonts w:ascii="Helvetica" w:hAnsi="Helvetica" w:cs="Helvetica"/>
          <w:sz w:val="22"/>
          <w:szCs w:val="22"/>
        </w:rPr>
        <w:t>:</w:t>
      </w:r>
    </w:p>
    <w:p w:rsidR="003336AC" w:rsidRPr="007243D3" w:rsidRDefault="003336AC" w:rsidP="003336AC">
      <w:pPr>
        <w:jc w:val="center"/>
        <w:rPr>
          <w:rStyle w:val="Hipervnculo"/>
          <w:rFonts w:ascii="Verdana" w:hAnsi="Verdana"/>
          <w:i/>
          <w:lang w:val="es-ES"/>
        </w:rPr>
      </w:pPr>
      <w:hyperlink r:id="rId13" w:history="1">
        <w:r w:rsidRPr="007243D3">
          <w:rPr>
            <w:rStyle w:val="Hipervnculo"/>
            <w:rFonts w:ascii="Verdana" w:hAnsi="Verdana"/>
            <w:i/>
            <w:lang w:val="es-ES"/>
          </w:rPr>
          <w:t>http://www.redeseducacion.com.ar/consultoria/EJEMPLO-GANANCIAS-SAC-5.xls</w:t>
        </w:r>
      </w:hyperlink>
    </w:p>
    <w:p w:rsidR="003336AC" w:rsidRDefault="003336AC" w:rsidP="003336AC">
      <w:pPr>
        <w:spacing w:line="360" w:lineRule="auto"/>
        <w:jc w:val="both"/>
      </w:pPr>
    </w:p>
    <w:p w:rsidR="003336AC" w:rsidRDefault="003336AC" w:rsidP="003336AC">
      <w:pPr>
        <w:spacing w:line="276" w:lineRule="auto"/>
        <w:jc w:val="both"/>
        <w:rPr>
          <w:rFonts w:ascii="Helvetica" w:hAnsi="Helvetica"/>
          <w:sz w:val="24"/>
          <w:szCs w:val="24"/>
        </w:rPr>
      </w:pPr>
    </w:p>
    <w:p w:rsidR="003336AC" w:rsidRDefault="003336AC">
      <w:pPr>
        <w:rPr>
          <w:rFonts w:ascii="Arial" w:hAnsi="Arial"/>
          <w:sz w:val="24"/>
        </w:rPr>
      </w:pPr>
    </w:p>
    <w:sectPr w:rsidR="003336AC">
      <w:headerReference w:type="default" r:id="rId14"/>
      <w:footerReference w:type="even" r:id="rId15"/>
      <w:footerReference w:type="default" r:id="rId16"/>
      <w:type w:val="continuous"/>
      <w:pgSz w:w="12242" w:h="20163" w:code="5"/>
      <w:pgMar w:top="1701" w:right="1134" w:bottom="1560" w:left="1134" w:header="425" w:footer="28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FB1" w:rsidRDefault="002D7FB1">
      <w:r>
        <w:separator/>
      </w:r>
    </w:p>
  </w:endnote>
  <w:endnote w:type="continuationSeparator" w:id="0">
    <w:p w:rsidR="002D7FB1" w:rsidRDefault="002D7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2D7FB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000000" w:rsidRDefault="002D7FB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2D7FB1">
    <w:pPr>
      <w:pBdr>
        <w:top w:val="single" w:sz="4" w:space="1" w:color="auto"/>
      </w:pBdr>
      <w:jc w:val="center"/>
      <w:rPr>
        <w:rFonts w:ascii="Arial" w:hAnsi="Arial"/>
        <w:b/>
        <w:snapToGrid w:val="0"/>
        <w:color w:val="000080"/>
        <w:sz w:val="18"/>
        <w:lang w:val="es-ES"/>
      </w:rPr>
    </w:pPr>
  </w:p>
  <w:p w:rsidR="00000000" w:rsidRDefault="002D7FB1">
    <w:pPr>
      <w:pBdr>
        <w:top w:val="single" w:sz="4" w:space="1" w:color="auto"/>
      </w:pBdr>
      <w:jc w:val="center"/>
      <w:rPr>
        <w:rFonts w:ascii="Arial" w:hAnsi="Arial"/>
        <w:b/>
        <w:snapToGrid w:val="0"/>
        <w:color w:val="000080"/>
        <w:sz w:val="18"/>
        <w:lang w:val="es-ES"/>
      </w:rPr>
    </w:pPr>
    <w:r>
      <w:rPr>
        <w:rFonts w:ascii="Arial" w:hAnsi="Arial"/>
        <w:b/>
        <w:snapToGrid w:val="0"/>
        <w:color w:val="000080"/>
        <w:sz w:val="18"/>
        <w:lang w:val="es-ES"/>
      </w:rPr>
      <w:t>Godoy Cruz 2769 3º Piso (1425) Buenos Aires - Tel.: (011) 4776-5200 (L. Rotativas) / Fax: (011) 4776-5300</w:t>
    </w:r>
  </w:p>
  <w:p w:rsidR="00000000" w:rsidRDefault="002D7FB1">
    <w:pPr>
      <w:pStyle w:val="Piedepgina"/>
      <w:jc w:val="center"/>
      <w:rPr>
        <w:rFonts w:ascii="Arial" w:hAnsi="Arial"/>
        <w:b/>
        <w:snapToGrid w:val="0"/>
        <w:color w:val="000080"/>
        <w:sz w:val="18"/>
        <w:lang w:val="es-ES"/>
      </w:rPr>
    </w:pPr>
    <w:r>
      <w:rPr>
        <w:rFonts w:ascii="Arial" w:hAnsi="Arial"/>
        <w:b/>
        <w:snapToGrid w:val="0"/>
        <w:color w:val="000080"/>
        <w:sz w:val="18"/>
        <w:lang w:val="es-ES"/>
      </w:rPr>
      <w:t>e-mail: correo@redeseducacion.com.ar  </w:t>
    </w:r>
  </w:p>
  <w:p w:rsidR="00000000" w:rsidRDefault="002D7FB1">
    <w:pPr>
      <w:pStyle w:val="Piedepgina"/>
      <w:jc w:val="center"/>
      <w:rPr>
        <w:rFonts w:ascii="Arial" w:hAnsi="Arial"/>
        <w:b/>
        <w:snapToGrid w:val="0"/>
        <w:color w:val="000080"/>
        <w:sz w:val="18"/>
        <w:lang w:val="es-ES"/>
      </w:rPr>
    </w:pPr>
    <w:r>
      <w:rPr>
        <w:rFonts w:ascii="Arial" w:hAnsi="Arial"/>
        <w:b/>
        <w:snapToGrid w:val="0"/>
        <w:color w:val="000080"/>
        <w:sz w:val="18"/>
        <w:lang w:val="es-ES"/>
      </w:rPr>
      <w:t>  </w:t>
    </w:r>
  </w:p>
  <w:p w:rsidR="00000000" w:rsidRDefault="002D7FB1">
    <w:pPr>
      <w:pStyle w:val="Piedepgina"/>
      <w:jc w:val="center"/>
      <w:rPr>
        <w:color w:val="000080"/>
      </w:rPr>
    </w:pPr>
    <w:r>
      <w:rPr>
        <w:rFonts w:ascii="Arial" w:hAnsi="Arial"/>
        <w:b/>
        <w:snapToGrid w:val="0"/>
        <w:color w:val="000080"/>
        <w:lang w:val="es-ES"/>
      </w:rPr>
      <w:t>WebSite: www.redeseducacion.com.ar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FB1" w:rsidRDefault="002D7FB1">
      <w:r>
        <w:separator/>
      </w:r>
    </w:p>
  </w:footnote>
  <w:footnote w:type="continuationSeparator" w:id="0">
    <w:p w:rsidR="002D7FB1" w:rsidRDefault="002D7F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2D7FB1">
    <w:pPr>
      <w:pStyle w:val="Encabezado"/>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85pt;height:42.7pt" fillcolor="window">
          <v:imagedata r:id="rId1" o:title="Redes"/>
        </v:shape>
      </w:pict>
    </w:r>
  </w:p>
  <w:p w:rsidR="00000000" w:rsidRDefault="002D7FB1">
    <w:pPr>
      <w:pStyle w:val="Encabezado"/>
      <w:pBdr>
        <w:bottom w:val="single" w:sz="4" w:space="1" w:color="auto"/>
      </w:pBdr>
      <w:rPr>
        <w:rFonts w:ascii="Arial" w:hAnsi="Arial"/>
        <w:b/>
        <w:noProof/>
        <w:color w:val="000080"/>
      </w:rPr>
    </w:pPr>
    <w:r>
      <w:rPr>
        <w:rFonts w:ascii="Arial" w:hAnsi="Arial"/>
        <w:b/>
        <w:noProof/>
        <w:color w:val="000080"/>
      </w:rPr>
      <w:t>PARA LA ORGANIZACION Y ADMINISTRACION ESCOLAR S.A.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159A585A"/>
    <w:multiLevelType w:val="singleLevel"/>
    <w:tmpl w:val="0C0A0017"/>
    <w:lvl w:ilvl="0">
      <w:start w:val="1"/>
      <w:numFmt w:val="lowerLetter"/>
      <w:lvlText w:val="%1)"/>
      <w:lvlJc w:val="left"/>
      <w:pPr>
        <w:tabs>
          <w:tab w:val="num" w:pos="360"/>
        </w:tabs>
        <w:ind w:left="360" w:hanging="360"/>
      </w:pPr>
      <w:rPr>
        <w:rFonts w:hint="default"/>
      </w:rPr>
    </w:lvl>
  </w:abstractNum>
  <w:abstractNum w:abstractNumId="2">
    <w:nsid w:val="54DB2336"/>
    <w:multiLevelType w:val="singleLevel"/>
    <w:tmpl w:val="0C0A0017"/>
    <w:lvl w:ilvl="0">
      <w:start w:val="1"/>
      <w:numFmt w:val="lowerLetter"/>
      <w:lvlText w:val="%1)"/>
      <w:lvlJc w:val="left"/>
      <w:pPr>
        <w:tabs>
          <w:tab w:val="num" w:pos="360"/>
        </w:tabs>
        <w:ind w:left="360" w:hanging="360"/>
      </w:pPr>
      <w:rPr>
        <w:rFonts w:hint="default"/>
      </w:rPr>
    </w:lvl>
  </w:abstractNum>
  <w:abstractNum w:abstractNumId="3">
    <w:nsid w:val="6A61644C"/>
    <w:multiLevelType w:val="singleLevel"/>
    <w:tmpl w:val="0C0A0013"/>
    <w:lvl w:ilvl="0">
      <w:start w:val="1"/>
      <w:numFmt w:val="upperRoman"/>
      <w:lvlText w:val="%1."/>
      <w:lvlJc w:val="left"/>
      <w:pPr>
        <w:tabs>
          <w:tab w:val="num" w:pos="720"/>
        </w:tabs>
        <w:ind w:left="720" w:hanging="720"/>
      </w:pPr>
    </w:lvl>
  </w:abstractNum>
  <w:abstractNum w:abstractNumId="4">
    <w:nsid w:val="7182516B"/>
    <w:multiLevelType w:val="hybridMultilevel"/>
    <w:tmpl w:val="CCD81286"/>
    <w:lvl w:ilvl="0" w:tplc="C9BCE370">
      <w:start w:val="1"/>
      <w:numFmt w:val="bullet"/>
      <w:lvlText w:val=""/>
      <w:lvlJc w:val="left"/>
      <w:pPr>
        <w:ind w:left="2138" w:hanging="360"/>
      </w:pPr>
      <w:rPr>
        <w:rFonts w:ascii="Wingdings" w:hAnsi="Wingdings" w:hint="default"/>
        <w:color w:val="auto"/>
      </w:rPr>
    </w:lvl>
    <w:lvl w:ilvl="1" w:tplc="2C0A0003" w:tentative="1">
      <w:start w:val="1"/>
      <w:numFmt w:val="bullet"/>
      <w:lvlText w:val="o"/>
      <w:lvlJc w:val="left"/>
      <w:pPr>
        <w:ind w:left="2858" w:hanging="360"/>
      </w:pPr>
      <w:rPr>
        <w:rFonts w:ascii="Courier New" w:hAnsi="Courier New" w:cs="Courier New" w:hint="default"/>
      </w:rPr>
    </w:lvl>
    <w:lvl w:ilvl="2" w:tplc="2C0A0005" w:tentative="1">
      <w:start w:val="1"/>
      <w:numFmt w:val="bullet"/>
      <w:lvlText w:val=""/>
      <w:lvlJc w:val="left"/>
      <w:pPr>
        <w:ind w:left="3578" w:hanging="360"/>
      </w:pPr>
      <w:rPr>
        <w:rFonts w:ascii="Wingdings" w:hAnsi="Wingdings" w:hint="default"/>
      </w:rPr>
    </w:lvl>
    <w:lvl w:ilvl="3" w:tplc="2C0A0001" w:tentative="1">
      <w:start w:val="1"/>
      <w:numFmt w:val="bullet"/>
      <w:lvlText w:val=""/>
      <w:lvlJc w:val="left"/>
      <w:pPr>
        <w:ind w:left="4298" w:hanging="360"/>
      </w:pPr>
      <w:rPr>
        <w:rFonts w:ascii="Symbol" w:hAnsi="Symbol" w:hint="default"/>
      </w:rPr>
    </w:lvl>
    <w:lvl w:ilvl="4" w:tplc="2C0A0003" w:tentative="1">
      <w:start w:val="1"/>
      <w:numFmt w:val="bullet"/>
      <w:lvlText w:val="o"/>
      <w:lvlJc w:val="left"/>
      <w:pPr>
        <w:ind w:left="5018" w:hanging="360"/>
      </w:pPr>
      <w:rPr>
        <w:rFonts w:ascii="Courier New" w:hAnsi="Courier New" w:cs="Courier New" w:hint="default"/>
      </w:rPr>
    </w:lvl>
    <w:lvl w:ilvl="5" w:tplc="2C0A0005" w:tentative="1">
      <w:start w:val="1"/>
      <w:numFmt w:val="bullet"/>
      <w:lvlText w:val=""/>
      <w:lvlJc w:val="left"/>
      <w:pPr>
        <w:ind w:left="5738" w:hanging="360"/>
      </w:pPr>
      <w:rPr>
        <w:rFonts w:ascii="Wingdings" w:hAnsi="Wingdings" w:hint="default"/>
      </w:rPr>
    </w:lvl>
    <w:lvl w:ilvl="6" w:tplc="2C0A0001" w:tentative="1">
      <w:start w:val="1"/>
      <w:numFmt w:val="bullet"/>
      <w:lvlText w:val=""/>
      <w:lvlJc w:val="left"/>
      <w:pPr>
        <w:ind w:left="6458" w:hanging="360"/>
      </w:pPr>
      <w:rPr>
        <w:rFonts w:ascii="Symbol" w:hAnsi="Symbol" w:hint="default"/>
      </w:rPr>
    </w:lvl>
    <w:lvl w:ilvl="7" w:tplc="2C0A0003" w:tentative="1">
      <w:start w:val="1"/>
      <w:numFmt w:val="bullet"/>
      <w:lvlText w:val="o"/>
      <w:lvlJc w:val="left"/>
      <w:pPr>
        <w:ind w:left="7178" w:hanging="360"/>
      </w:pPr>
      <w:rPr>
        <w:rFonts w:ascii="Courier New" w:hAnsi="Courier New" w:cs="Courier New" w:hint="default"/>
      </w:rPr>
    </w:lvl>
    <w:lvl w:ilvl="8" w:tplc="2C0A0005" w:tentative="1">
      <w:start w:val="1"/>
      <w:numFmt w:val="bullet"/>
      <w:lvlText w:val=""/>
      <w:lvlJc w:val="left"/>
      <w:pPr>
        <w:ind w:left="7898" w:hanging="360"/>
      </w:pPr>
      <w:rPr>
        <w:rFonts w:ascii="Wingdings" w:hAnsi="Wingdings" w:hint="default"/>
      </w:rPr>
    </w:lvl>
  </w:abstractNum>
  <w:abstractNum w:abstractNumId="5">
    <w:nsid w:val="7A265E7E"/>
    <w:multiLevelType w:val="hybridMultilevel"/>
    <w:tmpl w:val="7F206FEC"/>
    <w:lvl w:ilvl="0" w:tplc="C9BCE370">
      <w:start w:val="1"/>
      <w:numFmt w:val="bullet"/>
      <w:lvlText w:val=""/>
      <w:lvlJc w:val="left"/>
      <w:pPr>
        <w:ind w:left="2528" w:hanging="405"/>
      </w:pPr>
      <w:rPr>
        <w:rFonts w:ascii="Wingdings" w:hAnsi="Wingdings" w:hint="default"/>
        <w:color w:val="auto"/>
      </w:rPr>
    </w:lvl>
    <w:lvl w:ilvl="1" w:tplc="2C0A0019">
      <w:start w:val="1"/>
      <w:numFmt w:val="lowerLetter"/>
      <w:lvlText w:val="%2."/>
      <w:lvlJc w:val="left"/>
      <w:pPr>
        <w:ind w:left="2149" w:hanging="360"/>
      </w:pPr>
    </w:lvl>
    <w:lvl w:ilvl="2" w:tplc="43880D76">
      <w:start w:val="2"/>
      <w:numFmt w:val="bullet"/>
      <w:lvlText w:val="-"/>
      <w:lvlJc w:val="left"/>
      <w:pPr>
        <w:ind w:left="3049" w:hanging="360"/>
      </w:pPr>
      <w:rPr>
        <w:rFonts w:ascii="Helvetica" w:eastAsia="Times New Roman" w:hAnsi="Helvetica" w:cs="Helvetica" w:hint="default"/>
      </w:rPr>
    </w:lvl>
    <w:lvl w:ilvl="3" w:tplc="2C0A000F" w:tentative="1">
      <w:start w:val="1"/>
      <w:numFmt w:val="decimal"/>
      <w:lvlText w:val="%4."/>
      <w:lvlJc w:val="left"/>
      <w:pPr>
        <w:ind w:left="3589" w:hanging="360"/>
      </w:pPr>
    </w:lvl>
    <w:lvl w:ilvl="4" w:tplc="2C0A0019" w:tentative="1">
      <w:start w:val="1"/>
      <w:numFmt w:val="lowerLetter"/>
      <w:lvlText w:val="%5."/>
      <w:lvlJc w:val="left"/>
      <w:pPr>
        <w:ind w:left="4309" w:hanging="360"/>
      </w:pPr>
    </w:lvl>
    <w:lvl w:ilvl="5" w:tplc="2C0A001B" w:tentative="1">
      <w:start w:val="1"/>
      <w:numFmt w:val="lowerRoman"/>
      <w:lvlText w:val="%6."/>
      <w:lvlJc w:val="right"/>
      <w:pPr>
        <w:ind w:left="5029" w:hanging="180"/>
      </w:pPr>
    </w:lvl>
    <w:lvl w:ilvl="6" w:tplc="2C0A000F" w:tentative="1">
      <w:start w:val="1"/>
      <w:numFmt w:val="decimal"/>
      <w:lvlText w:val="%7."/>
      <w:lvlJc w:val="left"/>
      <w:pPr>
        <w:ind w:left="5749" w:hanging="360"/>
      </w:pPr>
    </w:lvl>
    <w:lvl w:ilvl="7" w:tplc="2C0A0019" w:tentative="1">
      <w:start w:val="1"/>
      <w:numFmt w:val="lowerLetter"/>
      <w:lvlText w:val="%8."/>
      <w:lvlJc w:val="left"/>
      <w:pPr>
        <w:ind w:left="6469" w:hanging="360"/>
      </w:pPr>
    </w:lvl>
    <w:lvl w:ilvl="8" w:tplc="2C0A001B" w:tentative="1">
      <w:start w:val="1"/>
      <w:numFmt w:val="lowerRoman"/>
      <w:lvlText w:val="%9."/>
      <w:lvlJc w:val="right"/>
      <w:pPr>
        <w:ind w:left="7189" w:hanging="180"/>
      </w:pPr>
    </w:lvl>
  </w:abstractNum>
  <w:num w:numId="1">
    <w:abstractNumId w:val="2"/>
  </w:num>
  <w:num w:numId="2">
    <w:abstractNumId w:val="1"/>
  </w:num>
  <w:num w:numId="3">
    <w:abstractNumId w:val="3"/>
  </w:num>
  <w:num w:numId="4">
    <w:abstractNumId w:val="0"/>
    <w:lvlOverride w:ilvl="0">
      <w:lvl w:ilvl="0">
        <w:numFmt w:val="bullet"/>
        <w:lvlText w:val=""/>
        <w:legacy w:legacy="1" w:legacySpace="0" w:legacyIndent="360"/>
        <w:lvlJc w:val="left"/>
        <w:pPr>
          <w:ind w:left="720" w:hanging="360"/>
        </w:pPr>
        <w:rPr>
          <w:rFonts w:ascii="Symbol" w:hAnsi="Symbol" w:hint="default"/>
        </w:rPr>
      </w:lvl>
    </w:lvlOverride>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doNotTrackMoves/>
  <w:defaultTabStop w:val="720"/>
  <w:consecutiveHyphenLimit w:val="28257"/>
  <w:hyphenationZone w:val="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printColBlack/>
    <w:showBreaksInFrames/>
    <w:suppressTopSpacing/>
    <w:suppressSpBfAfterPgBrk/>
    <w:swapBordersFacingPages/>
    <w:convMailMergeEsc/>
    <w:usePrinterMetric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336AC"/>
    <w:rsid w:val="002D7FB1"/>
    <w:rsid w:val="003336A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ms Rmn" w:eastAsia="Times New Roman" w:hAnsi="Tms Rm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6AC"/>
    <w:rPr>
      <w:rFonts w:ascii="Times New Roman" w:hAnsi="Times New Roman"/>
      <w:lang w:eastAsia="es-ES"/>
    </w:rPr>
  </w:style>
  <w:style w:type="paragraph" w:styleId="Ttulo1">
    <w:name w:val="heading 1"/>
    <w:basedOn w:val="Normal"/>
    <w:next w:val="Normal"/>
    <w:qFormat/>
    <w:pPr>
      <w:keepNext/>
      <w:outlineLvl w:val="0"/>
    </w:pPr>
    <w:rPr>
      <w:sz w:val="36"/>
      <w:lang w:val="es-MX"/>
    </w:rPr>
  </w:style>
  <w:style w:type="paragraph" w:styleId="Ttulo4">
    <w:name w:val="heading 4"/>
    <w:basedOn w:val="Normal"/>
    <w:next w:val="Normal"/>
    <w:qFormat/>
    <w:pPr>
      <w:keepNext/>
      <w:outlineLvl w:val="3"/>
    </w:pPr>
    <w:rPr>
      <w:b/>
      <w:sz w:val="44"/>
      <w:lang w:val="es-ES"/>
    </w:rPr>
  </w:style>
  <w:style w:type="paragraph" w:styleId="Ttulo5">
    <w:name w:val="heading 5"/>
    <w:basedOn w:val="Normal"/>
    <w:next w:val="Normal"/>
    <w:qFormat/>
    <w:pPr>
      <w:keepNext/>
      <w:jc w:val="center"/>
      <w:outlineLvl w:val="4"/>
    </w:pPr>
    <w:rPr>
      <w:b/>
      <w:sz w:val="24"/>
      <w:lang w:val="es-ES"/>
    </w:rPr>
  </w:style>
  <w:style w:type="paragraph" w:styleId="Ttulo6">
    <w:name w:val="heading 6"/>
    <w:basedOn w:val="Normal"/>
    <w:next w:val="Normal"/>
    <w:qFormat/>
    <w:pPr>
      <w:keepNext/>
      <w:outlineLvl w:val="5"/>
    </w:pPr>
    <w:rPr>
      <w:b/>
      <w:lang w:val="es-ES"/>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OmniPage1">
    <w:name w:val="OmniPage #1"/>
    <w:pPr>
      <w:tabs>
        <w:tab w:val="left" w:pos="50"/>
        <w:tab w:val="right" w:pos="8498"/>
      </w:tabs>
      <w:ind w:left="50" w:right="50"/>
    </w:pPr>
    <w:rPr>
      <w:lang w:val="en-US" w:eastAsia="es-ES"/>
    </w:rPr>
  </w:style>
  <w:style w:type="paragraph" w:customStyle="1" w:styleId="OmniPage2">
    <w:name w:val="OmniPage #2"/>
    <w:pPr>
      <w:tabs>
        <w:tab w:val="left" w:pos="50"/>
        <w:tab w:val="right" w:pos="3644"/>
      </w:tabs>
    </w:pPr>
    <w:rPr>
      <w:lang w:val="en-US" w:eastAsia="es-ES"/>
    </w:rPr>
  </w:style>
  <w:style w:type="paragraph" w:customStyle="1" w:styleId="OmniPage3">
    <w:name w:val="OmniPage #3"/>
    <w:pPr>
      <w:tabs>
        <w:tab w:val="left" w:pos="50"/>
        <w:tab w:val="right" w:pos="9168"/>
      </w:tabs>
      <w:jc w:val="both"/>
    </w:pPr>
    <w:rPr>
      <w:lang w:val="en-US" w:eastAsia="es-ES"/>
    </w:rPr>
  </w:style>
  <w:style w:type="paragraph" w:customStyle="1" w:styleId="OmniPage4">
    <w:name w:val="OmniPage #4"/>
    <w:pPr>
      <w:tabs>
        <w:tab w:val="left" w:pos="50"/>
        <w:tab w:val="right" w:pos="2109"/>
      </w:tabs>
    </w:pPr>
    <w:rPr>
      <w:lang w:val="en-US" w:eastAsia="es-ES"/>
    </w:rPr>
  </w:style>
  <w:style w:type="paragraph" w:customStyle="1" w:styleId="OmniPage5">
    <w:name w:val="OmniPage #5"/>
    <w:pPr>
      <w:tabs>
        <w:tab w:val="left" w:pos="50"/>
        <w:tab w:val="right" w:pos="9156"/>
      </w:tabs>
      <w:jc w:val="both"/>
    </w:pPr>
    <w:rPr>
      <w:lang w:val="en-US" w:eastAsia="es-ES"/>
    </w:rPr>
  </w:style>
  <w:style w:type="paragraph" w:customStyle="1" w:styleId="OmniPage6">
    <w:name w:val="OmniPage #6"/>
    <w:pPr>
      <w:tabs>
        <w:tab w:val="left" w:pos="50"/>
        <w:tab w:val="right" w:pos="9159"/>
      </w:tabs>
      <w:jc w:val="both"/>
    </w:pPr>
    <w:rPr>
      <w:lang w:val="en-US" w:eastAsia="es-ES"/>
    </w:rPr>
  </w:style>
  <w:style w:type="paragraph" w:customStyle="1" w:styleId="OmniPage7">
    <w:name w:val="OmniPage #7"/>
    <w:pPr>
      <w:tabs>
        <w:tab w:val="left" w:pos="50"/>
        <w:tab w:val="right" w:pos="9152"/>
      </w:tabs>
      <w:jc w:val="both"/>
    </w:pPr>
    <w:rPr>
      <w:lang w:val="en-US" w:eastAsia="es-ES"/>
    </w:rPr>
  </w:style>
  <w:style w:type="paragraph" w:customStyle="1" w:styleId="OmniPage8">
    <w:name w:val="OmniPage #8"/>
    <w:pPr>
      <w:tabs>
        <w:tab w:val="left" w:pos="50"/>
        <w:tab w:val="right" w:pos="9169"/>
      </w:tabs>
      <w:jc w:val="both"/>
    </w:pPr>
    <w:rPr>
      <w:lang w:val="en-US" w:eastAsia="es-ES"/>
    </w:rPr>
  </w:style>
  <w:style w:type="paragraph" w:customStyle="1" w:styleId="OmniPage9">
    <w:name w:val="OmniPage #9"/>
    <w:pPr>
      <w:tabs>
        <w:tab w:val="left" w:pos="50"/>
        <w:tab w:val="right" w:pos="9157"/>
      </w:tabs>
      <w:jc w:val="both"/>
    </w:pPr>
    <w:rPr>
      <w:lang w:val="en-US" w:eastAsia="es-ES"/>
    </w:rPr>
  </w:style>
  <w:style w:type="paragraph" w:customStyle="1" w:styleId="OmniPage10">
    <w:name w:val="OmniPage #10"/>
    <w:pPr>
      <w:tabs>
        <w:tab w:val="left" w:pos="50"/>
        <w:tab w:val="right" w:pos="9155"/>
      </w:tabs>
      <w:jc w:val="both"/>
    </w:pPr>
    <w:rPr>
      <w:lang w:val="en-US" w:eastAsia="es-ES"/>
    </w:rPr>
  </w:style>
  <w:style w:type="paragraph" w:customStyle="1" w:styleId="OmniPage11">
    <w:name w:val="OmniPage #11"/>
    <w:pPr>
      <w:tabs>
        <w:tab w:val="left" w:pos="50"/>
        <w:tab w:val="right" w:pos="135"/>
      </w:tabs>
    </w:pPr>
    <w:rPr>
      <w:lang w:val="en-US" w:eastAsia="es-ES"/>
    </w:rPr>
  </w:style>
  <w:style w:type="paragraph" w:styleId="Piedepgina">
    <w:name w:val="footer"/>
    <w:basedOn w:val="Normal"/>
    <w:semiHidden/>
    <w:pPr>
      <w:tabs>
        <w:tab w:val="center" w:pos="4419"/>
        <w:tab w:val="right" w:pos="8838"/>
      </w:tabs>
    </w:pPr>
  </w:style>
  <w:style w:type="character" w:styleId="Nmerodepgina">
    <w:name w:val="page number"/>
    <w:basedOn w:val="Fuentedeprrafopredeter"/>
    <w:semiHidden/>
  </w:style>
  <w:style w:type="paragraph" w:styleId="Encabezado">
    <w:name w:val="header"/>
    <w:basedOn w:val="Normal"/>
    <w:semiHidden/>
    <w:pPr>
      <w:tabs>
        <w:tab w:val="center" w:pos="4419"/>
        <w:tab w:val="right" w:pos="8838"/>
      </w:tabs>
    </w:pPr>
  </w:style>
  <w:style w:type="character" w:styleId="Textoennegrita">
    <w:name w:val="Strong"/>
    <w:basedOn w:val="Fuentedeprrafopredeter"/>
    <w:qFormat/>
    <w:rPr>
      <w:b/>
    </w:rPr>
  </w:style>
  <w:style w:type="paragraph" w:customStyle="1" w:styleId="Blockquote">
    <w:name w:val="Blockquote"/>
    <w:basedOn w:val="Normal"/>
    <w:pPr>
      <w:widowControl w:val="0"/>
      <w:spacing w:before="100" w:after="100"/>
      <w:ind w:left="360" w:right="360"/>
    </w:pPr>
    <w:rPr>
      <w:snapToGrid w:val="0"/>
      <w:sz w:val="24"/>
      <w:lang w:val="es-ES_tradnl"/>
    </w:rPr>
  </w:style>
  <w:style w:type="paragraph" w:styleId="Textoindependiente2">
    <w:name w:val="Body Text 2"/>
    <w:basedOn w:val="Normal"/>
    <w:semiHidden/>
    <w:pPr>
      <w:jc w:val="both"/>
    </w:pPr>
    <w:rPr>
      <w:i/>
      <w:sz w:val="40"/>
      <w:lang w:val="es-ES"/>
    </w:rPr>
  </w:style>
  <w:style w:type="character" w:styleId="Hipervnculo">
    <w:name w:val="Hyperlink"/>
    <w:rsid w:val="003336AC"/>
    <w:rPr>
      <w:color w:val="0000FF"/>
      <w:u w:val="single"/>
    </w:rPr>
  </w:style>
  <w:style w:type="paragraph" w:styleId="Textoindependiente">
    <w:name w:val="Body Text"/>
    <w:basedOn w:val="Normal"/>
    <w:link w:val="TextoindependienteCar"/>
    <w:rsid w:val="003336AC"/>
    <w:pPr>
      <w:jc w:val="both"/>
    </w:pPr>
    <w:rPr>
      <w:rFonts w:ascii="Helvetica" w:hAnsi="Helvetica"/>
      <w:sz w:val="24"/>
      <w:lang w:val="en-US"/>
    </w:rPr>
  </w:style>
  <w:style w:type="character" w:customStyle="1" w:styleId="TextoindependienteCar">
    <w:name w:val="Texto independiente Car"/>
    <w:basedOn w:val="Fuentedeprrafopredeter"/>
    <w:link w:val="Textoindependiente"/>
    <w:rsid w:val="003336AC"/>
    <w:rPr>
      <w:rFonts w:ascii="Helvetica" w:hAnsi="Helvetica"/>
      <w:sz w:val="24"/>
      <w:lang w:val="en-US" w:eastAsia="es-ES"/>
    </w:rPr>
  </w:style>
  <w:style w:type="paragraph" w:styleId="NormalWeb">
    <w:name w:val="Normal (Web)"/>
    <w:basedOn w:val="Normal"/>
    <w:rsid w:val="003336AC"/>
    <w:pPr>
      <w:spacing w:before="100" w:beforeAutospacing="1" w:after="100" w:afterAutospacing="1"/>
    </w:pPr>
    <w:rPr>
      <w:rFonts w:ascii="Verdana" w:hAnsi="Verdana"/>
      <w:color w:val="00000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deseducacion.com.ar/consultoria/EJEMPLO-GANANCIAS-SAC-2.xls" TargetMode="External"/><Relationship Id="rId13" Type="http://schemas.openxmlformats.org/officeDocument/2006/relationships/hyperlink" Target="http://www.redeseducacion.com.ar/consultoria/EJEMPLO-GANANCIAS-SAC-5.xl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redeseducacion.com.ar/consultoria/EJEMPLO-GANANCIAS-SAC-1.xls" TargetMode="External"/><Relationship Id="rId12" Type="http://schemas.openxmlformats.org/officeDocument/2006/relationships/hyperlink" Target="http://www.redeseducacion.com.ar/consultoria/EJEMPLO-GANANCIAS-SAC-4.xl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deseducacion.com.ar/consultoria/EJEMPLO-GANANCIAS-SAC-3.xl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redeseducacion.com.ar/consultoria/EJEMPLO-GANANCIAS-LIQ-FINAL2.xls" TargetMode="External"/><Relationship Id="rId4" Type="http://schemas.openxmlformats.org/officeDocument/2006/relationships/webSettings" Target="webSettings.xml"/><Relationship Id="rId9" Type="http://schemas.openxmlformats.org/officeDocument/2006/relationships/hyperlink" Target="http://www.redeseducacion.com.ar/consultoria/EJEMPLO-GANANCIAS-LIQ-FINAL.xl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y\Documents\Plantillas\MembreteGC.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MembreteGC.dot</Template>
  <TotalTime>4</TotalTime>
  <Pages>1</Pages>
  <Words>629</Words>
  <Characters>3461</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Gobierno de la Ciudad de Buenos Aires</vt:lpstr>
    </vt:vector>
  </TitlesOfParts>
  <Company>REDES S.A.</Company>
  <LinksUpToDate>false</LinksUpToDate>
  <CharactersWithSpaces>4082</CharactersWithSpaces>
  <SharedDoc>false</SharedDoc>
  <HLinks>
    <vt:vector size="6" baseType="variant">
      <vt:variant>
        <vt:i4>7077929</vt:i4>
      </vt:variant>
      <vt:variant>
        <vt:i4>1025</vt:i4>
      </vt:variant>
      <vt:variant>
        <vt:i4>1025</vt:i4>
      </vt:variant>
      <vt:variant>
        <vt:i4>1</vt:i4>
      </vt:variant>
      <vt:variant>
        <vt:lpwstr>C:\PM5\REDES\IMAGES\Redes.gif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Gobierno de la Ciudad de Buenos Aires</dc:title>
  <dc:subject/>
  <dc:creator>Andy</dc:creator>
  <cp:keywords/>
  <cp:lastModifiedBy/>
  <cp:revision>1</cp:revision>
  <cp:lastPrinted>1998-05-15T16:55:00Z</cp:lastPrinted>
  <dcterms:created xsi:type="dcterms:W3CDTF">2017-06-15T13:51:00Z</dcterms:created>
  <dcterms:modified xsi:type="dcterms:W3CDTF">1601-01-01T00:00:00Z</dcterms:modified>
</cp:coreProperties>
</file>