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3" w:type="dxa"/>
        <w:tblCellMar>
          <w:left w:w="70" w:type="dxa"/>
          <w:right w:w="70" w:type="dxa"/>
        </w:tblCellMar>
        <w:tblLook w:val="0000" w:firstRow="0" w:lastRow="0" w:firstColumn="0" w:lastColumn="0" w:noHBand="0" w:noVBand="0"/>
      </w:tblPr>
      <w:tblGrid>
        <w:gridCol w:w="3662"/>
        <w:gridCol w:w="7521"/>
      </w:tblGrid>
      <w:tr w:rsidR="00D26912" w:rsidRPr="00D26912" w:rsidTr="00D26912">
        <w:tblPrEx>
          <w:tblCellMar>
            <w:top w:w="0" w:type="dxa"/>
            <w:bottom w:w="0" w:type="dxa"/>
          </w:tblCellMar>
        </w:tblPrEx>
        <w:trPr>
          <w:trHeight w:val="255"/>
        </w:trPr>
        <w:tc>
          <w:tcPr>
            <w:tcW w:w="3662" w:type="dxa"/>
          </w:tcPr>
          <w:p w:rsidR="00D26912" w:rsidRPr="00D26912" w:rsidRDefault="00D26912" w:rsidP="00D26912">
            <w:pPr>
              <w:spacing w:line="276" w:lineRule="auto"/>
              <w:jc w:val="center"/>
              <w:rPr>
                <w:rFonts w:ascii="Arial" w:hAnsi="Arial" w:cs="Arial"/>
                <w:b/>
                <w:bCs/>
                <w:sz w:val="36"/>
                <w:szCs w:val="36"/>
                <w:lang w:val="es-ES"/>
              </w:rPr>
            </w:pPr>
          </w:p>
        </w:tc>
        <w:tc>
          <w:tcPr>
            <w:tcW w:w="7521" w:type="dxa"/>
          </w:tcPr>
          <w:p w:rsidR="00D26912" w:rsidRPr="00D26912" w:rsidRDefault="00D26912" w:rsidP="00D26912">
            <w:pPr>
              <w:spacing w:before="200" w:line="276" w:lineRule="auto"/>
              <w:ind w:left="105" w:right="105"/>
              <w:rPr>
                <w:rFonts w:ascii="Arial" w:hAnsi="Arial" w:cs="Arial"/>
                <w:b/>
                <w:bCs/>
                <w:sz w:val="22"/>
                <w:szCs w:val="22"/>
              </w:rPr>
            </w:pPr>
          </w:p>
        </w:tc>
      </w:tr>
    </w:tbl>
    <w:p w:rsidR="00D26912" w:rsidRDefault="00D26912" w:rsidP="00D26912">
      <w:pPr>
        <w:jc w:val="center"/>
        <w:rPr>
          <w:rFonts w:ascii="Arial" w:hAnsi="Arial" w:cs="Arial"/>
          <w:b/>
          <w:bCs/>
          <w:sz w:val="22"/>
          <w:szCs w:val="22"/>
          <w:u w:val="single"/>
          <w:lang w:val="x-none"/>
        </w:rPr>
      </w:pPr>
      <w:r>
        <w:rPr>
          <w:rFonts w:ascii="Arial" w:hAnsi="Arial" w:cs="Arial"/>
          <w:b/>
          <w:bCs/>
          <w:sz w:val="36"/>
          <w:szCs w:val="36"/>
          <w:lang w:val="es-ES"/>
        </w:rPr>
        <w:t xml:space="preserve">Licencias del </w:t>
      </w:r>
      <w:r w:rsidRPr="00D26912">
        <w:rPr>
          <w:rFonts w:ascii="Arial" w:hAnsi="Arial" w:cs="Arial"/>
          <w:b/>
          <w:bCs/>
          <w:sz w:val="36"/>
          <w:szCs w:val="36"/>
          <w:lang w:val="es-ES"/>
        </w:rPr>
        <w:t xml:space="preserve">personal </w:t>
      </w:r>
      <w:proofErr w:type="spellStart"/>
      <w:r w:rsidRPr="00D26912">
        <w:rPr>
          <w:rFonts w:ascii="Arial" w:hAnsi="Arial" w:cs="Arial"/>
          <w:b/>
          <w:bCs/>
          <w:sz w:val="36"/>
          <w:szCs w:val="36"/>
          <w:lang w:val="es-ES"/>
        </w:rPr>
        <w:t>extraprogramático</w:t>
      </w:r>
      <w:proofErr w:type="spellEnd"/>
      <w:r w:rsidRPr="00D26912">
        <w:rPr>
          <w:rFonts w:ascii="Arial" w:hAnsi="Arial" w:cs="Arial"/>
          <w:b/>
          <w:bCs/>
          <w:sz w:val="36"/>
          <w:szCs w:val="36"/>
          <w:lang w:val="es-ES"/>
        </w:rPr>
        <w:t>. Preguntas Frecuentes</w:t>
      </w:r>
      <w:r>
        <w:rPr>
          <w:rFonts w:ascii="Arial" w:hAnsi="Arial" w:cs="Arial"/>
          <w:b/>
          <w:bCs/>
          <w:sz w:val="36"/>
          <w:szCs w:val="36"/>
          <w:lang w:val="es-ES"/>
        </w:rPr>
        <w:t>.</w:t>
      </w:r>
    </w:p>
    <w:p w:rsidR="00D26912" w:rsidRDefault="00D26912" w:rsidP="00D26912">
      <w:pPr>
        <w:rPr>
          <w:rFonts w:ascii="Arial" w:hAnsi="Arial" w:cs="Arial"/>
          <w:b/>
          <w:bCs/>
          <w:sz w:val="22"/>
          <w:szCs w:val="22"/>
          <w:u w:val="single"/>
          <w:lang w:val="x-none"/>
        </w:rPr>
      </w:pPr>
    </w:p>
    <w:p w:rsidR="00D26912" w:rsidRPr="00D26912" w:rsidRDefault="00D26912" w:rsidP="00D26912">
      <w:pPr>
        <w:rPr>
          <w:rFonts w:ascii="Arial" w:hAnsi="Arial" w:cs="Arial"/>
          <w:b/>
          <w:bCs/>
          <w:sz w:val="22"/>
          <w:szCs w:val="22"/>
          <w:u w:val="single"/>
          <w:lang w:val="x-none"/>
        </w:rPr>
      </w:pPr>
      <w:proofErr w:type="spellStart"/>
      <w:r w:rsidRPr="00D26912">
        <w:rPr>
          <w:rFonts w:ascii="Arial" w:hAnsi="Arial" w:cs="Arial"/>
          <w:b/>
          <w:bCs/>
          <w:sz w:val="22"/>
          <w:szCs w:val="22"/>
          <w:u w:val="single"/>
          <w:lang w:val="x-none"/>
        </w:rPr>
        <w:t>Estimados</w:t>
      </w:r>
      <w:proofErr w:type="spellEnd"/>
      <w:r w:rsidRPr="00D26912">
        <w:rPr>
          <w:rFonts w:ascii="Arial" w:hAnsi="Arial" w:cs="Arial"/>
          <w:b/>
          <w:bCs/>
          <w:sz w:val="22"/>
          <w:szCs w:val="22"/>
          <w:u w:val="single"/>
          <w:lang w:val="x-none"/>
        </w:rPr>
        <w:t xml:space="preserve"> </w:t>
      </w:r>
      <w:proofErr w:type="spellStart"/>
      <w:r w:rsidRPr="00D26912">
        <w:rPr>
          <w:rFonts w:ascii="Arial" w:hAnsi="Arial" w:cs="Arial"/>
          <w:b/>
          <w:bCs/>
          <w:sz w:val="22"/>
          <w:szCs w:val="22"/>
          <w:u w:val="single"/>
          <w:lang w:val="x-none"/>
        </w:rPr>
        <w:t>Asociados</w:t>
      </w:r>
      <w:proofErr w:type="spellEnd"/>
      <w:r w:rsidRPr="00D26912">
        <w:rPr>
          <w:rFonts w:ascii="Arial" w:hAnsi="Arial" w:cs="Arial"/>
          <w:b/>
          <w:bCs/>
          <w:sz w:val="22"/>
          <w:szCs w:val="22"/>
          <w:u w:val="single"/>
          <w:lang w:val="x-none"/>
        </w:rPr>
        <w:t xml:space="preserve">: </w:t>
      </w:r>
    </w:p>
    <w:p w:rsidR="00D26912" w:rsidRPr="00D26912" w:rsidRDefault="00D26912" w:rsidP="00D26912">
      <w:pPr>
        <w:rPr>
          <w:rFonts w:ascii="Arial" w:hAnsi="Arial" w:cs="Arial"/>
          <w:b/>
          <w:bCs/>
          <w:sz w:val="22"/>
          <w:szCs w:val="22"/>
          <w:u w:val="single"/>
          <w:lang w:val="x-none"/>
        </w:rPr>
      </w:pPr>
    </w:p>
    <w:p w:rsidR="00D26912" w:rsidRPr="00D26912" w:rsidRDefault="00D26912" w:rsidP="00D26912">
      <w:pPr>
        <w:spacing w:before="80" w:line="360" w:lineRule="auto"/>
        <w:ind w:left="105" w:right="105" w:firstLine="105"/>
        <w:jc w:val="both"/>
        <w:rPr>
          <w:rFonts w:ascii="Arial" w:hAnsi="Arial" w:cs="Arial"/>
          <w:sz w:val="22"/>
          <w:szCs w:val="22"/>
          <w:lang w:val="es-ES"/>
        </w:rPr>
      </w:pPr>
      <w:r w:rsidRPr="00D26912">
        <w:rPr>
          <w:rFonts w:ascii="Arial" w:hAnsi="Arial" w:cs="Arial"/>
          <w:sz w:val="22"/>
          <w:szCs w:val="22"/>
        </w:rPr>
        <w:tab/>
      </w:r>
      <w:r w:rsidRPr="00D26912">
        <w:rPr>
          <w:rFonts w:ascii="Arial" w:hAnsi="Arial" w:cs="Arial"/>
          <w:sz w:val="22"/>
          <w:szCs w:val="22"/>
        </w:rPr>
        <w:tab/>
      </w:r>
      <w:r w:rsidRPr="00D26912">
        <w:rPr>
          <w:rFonts w:ascii="Arial" w:hAnsi="Arial" w:cs="Arial"/>
          <w:sz w:val="22"/>
          <w:szCs w:val="22"/>
          <w:lang w:val="es-ES"/>
        </w:rPr>
        <w:tab/>
        <w:t xml:space="preserve">Tenemos el agrado de dirigirnos a Uds. con el fin de responder a consultas frecuentes de nuestros asociados, en relación a ciertas licencias para el personal </w:t>
      </w:r>
      <w:proofErr w:type="spellStart"/>
      <w:r w:rsidRPr="00D26912">
        <w:rPr>
          <w:rFonts w:ascii="Arial" w:hAnsi="Arial" w:cs="Arial"/>
          <w:sz w:val="22"/>
          <w:szCs w:val="22"/>
          <w:lang w:val="es-ES"/>
        </w:rPr>
        <w:t>extraprogramático</w:t>
      </w:r>
      <w:proofErr w:type="spellEnd"/>
      <w:r w:rsidRPr="00D26912">
        <w:rPr>
          <w:rFonts w:ascii="Arial" w:hAnsi="Arial" w:cs="Arial"/>
          <w:sz w:val="22"/>
          <w:szCs w:val="22"/>
          <w:lang w:val="es-ES"/>
        </w:rPr>
        <w:t xml:space="preserve"> comprendido en la Ley 13047 art 2:</w:t>
      </w:r>
    </w:p>
    <w:p w:rsidR="00D26912" w:rsidRPr="00D26912" w:rsidRDefault="00D26912" w:rsidP="00D26912">
      <w:pPr>
        <w:spacing w:before="150" w:after="300"/>
        <w:ind w:left="600" w:right="600"/>
        <w:jc w:val="both"/>
        <w:rPr>
          <w:rFonts w:ascii="Verdana" w:hAnsi="Verdana"/>
          <w:i/>
          <w:color w:val="000000"/>
          <w:sz w:val="18"/>
          <w:szCs w:val="18"/>
          <w:lang w:val="es-ES"/>
        </w:rPr>
      </w:pPr>
      <w:r w:rsidRPr="00D26912">
        <w:rPr>
          <w:rFonts w:ascii="Verdana" w:hAnsi="Verdana"/>
          <w:b/>
          <w:bCs/>
          <w:i/>
          <w:color w:val="000000"/>
          <w:sz w:val="18"/>
          <w:szCs w:val="18"/>
          <w:lang w:val="es-ES"/>
        </w:rPr>
        <w:t>Art. 2º —</w:t>
      </w:r>
      <w:r w:rsidRPr="00D26912">
        <w:rPr>
          <w:rFonts w:ascii="Verdana" w:hAnsi="Verdana"/>
          <w:i/>
          <w:color w:val="000000"/>
          <w:sz w:val="18"/>
          <w:szCs w:val="18"/>
          <w:lang w:val="es-ES"/>
        </w:rPr>
        <w:t> A los efectos de la aplicación de esta ley, el Poder Ejecutivo llevará un registro de todos los establecimientos privados de enseñanza, y de su personal, y clasificará a los establecimientos en:</w:t>
      </w:r>
    </w:p>
    <w:p w:rsidR="00D26912" w:rsidRPr="00D26912" w:rsidRDefault="00D26912" w:rsidP="00D26912">
      <w:pPr>
        <w:spacing w:before="150" w:after="300"/>
        <w:ind w:left="600" w:right="600"/>
        <w:jc w:val="both"/>
        <w:rPr>
          <w:rFonts w:ascii="Verdana" w:hAnsi="Verdana"/>
          <w:i/>
          <w:color w:val="000000"/>
          <w:sz w:val="18"/>
          <w:szCs w:val="18"/>
          <w:lang w:val="es-ES"/>
        </w:rPr>
      </w:pPr>
      <w:r w:rsidRPr="00D26912">
        <w:rPr>
          <w:rFonts w:ascii="Verdana" w:hAnsi="Verdana"/>
          <w:i/>
          <w:color w:val="000000"/>
          <w:sz w:val="18"/>
          <w:szCs w:val="18"/>
          <w:lang w:val="es-ES"/>
        </w:rPr>
        <w:t>a) </w:t>
      </w:r>
      <w:r w:rsidRPr="00D26912">
        <w:rPr>
          <w:rFonts w:ascii="Verdana" w:hAnsi="Verdana"/>
          <w:b/>
          <w:bCs/>
          <w:i/>
          <w:color w:val="000000"/>
          <w:sz w:val="18"/>
          <w:szCs w:val="18"/>
          <w:lang w:val="es-ES"/>
        </w:rPr>
        <w:t>Adscriptos a la enseñanza oficial:</w:t>
      </w:r>
      <w:r w:rsidRPr="00D26912">
        <w:rPr>
          <w:rFonts w:ascii="Verdana" w:hAnsi="Verdana"/>
          <w:i/>
          <w:color w:val="000000"/>
          <w:sz w:val="18"/>
          <w:szCs w:val="18"/>
          <w:lang w:val="es-ES"/>
        </w:rPr>
        <w:t> establecimientos privados de enseñanza primaria, fiscalizados por el Consejo Nacional de Educación y de enseñanza secundaria, normal o especial; incorporados a la enseñanza oficial dependiente del Ministerio de Justicia e Instrucción Pública;</w:t>
      </w:r>
    </w:p>
    <w:p w:rsidR="00D26912" w:rsidRPr="00D26912" w:rsidRDefault="00D26912" w:rsidP="00D26912">
      <w:pPr>
        <w:spacing w:before="150" w:after="300"/>
        <w:ind w:left="600" w:right="600"/>
        <w:jc w:val="both"/>
        <w:rPr>
          <w:rFonts w:ascii="Verdana" w:hAnsi="Verdana"/>
          <w:i/>
          <w:color w:val="000000"/>
          <w:sz w:val="18"/>
          <w:szCs w:val="18"/>
          <w:lang w:val="es-ES"/>
        </w:rPr>
      </w:pPr>
      <w:r w:rsidRPr="00D26912">
        <w:rPr>
          <w:rFonts w:ascii="Verdana" w:hAnsi="Verdana"/>
          <w:i/>
          <w:color w:val="000000"/>
          <w:sz w:val="18"/>
          <w:szCs w:val="18"/>
          <w:lang w:val="es-ES"/>
        </w:rPr>
        <w:t>b)</w:t>
      </w:r>
      <w:r w:rsidRPr="00D26912">
        <w:rPr>
          <w:rFonts w:ascii="Verdana" w:hAnsi="Verdana"/>
          <w:b/>
          <w:bCs/>
          <w:i/>
          <w:color w:val="000000"/>
          <w:sz w:val="18"/>
          <w:szCs w:val="18"/>
          <w:lang w:val="es-ES"/>
        </w:rPr>
        <w:t> Libres:</w:t>
      </w:r>
      <w:r w:rsidRPr="00D26912">
        <w:rPr>
          <w:rFonts w:ascii="Verdana" w:hAnsi="Verdana"/>
          <w:i/>
          <w:color w:val="000000"/>
          <w:sz w:val="18"/>
          <w:szCs w:val="18"/>
          <w:lang w:val="es-ES"/>
        </w:rPr>
        <w:t> establecimientos privados, de enseñanza secundaria, normal o especial, que, siguiendo los planes y programas oficiales, no estén comprendidos en el apartado anterior;</w:t>
      </w:r>
    </w:p>
    <w:p w:rsidR="00D26912" w:rsidRPr="00D26912" w:rsidRDefault="00D26912" w:rsidP="00D26912">
      <w:pPr>
        <w:spacing w:before="150" w:after="300"/>
        <w:ind w:left="600" w:right="600"/>
        <w:jc w:val="both"/>
        <w:rPr>
          <w:rFonts w:ascii="Verdana" w:hAnsi="Verdana"/>
          <w:i/>
          <w:color w:val="000000"/>
          <w:sz w:val="18"/>
          <w:szCs w:val="18"/>
          <w:lang w:val="es-ES"/>
        </w:rPr>
      </w:pPr>
      <w:r w:rsidRPr="00D26912">
        <w:rPr>
          <w:rFonts w:ascii="Verdana" w:hAnsi="Verdana"/>
          <w:i/>
          <w:color w:val="000000"/>
          <w:sz w:val="18"/>
          <w:szCs w:val="18"/>
          <w:lang w:val="es-ES"/>
        </w:rPr>
        <w:t>c) </w:t>
      </w:r>
      <w:r w:rsidRPr="00D26912">
        <w:rPr>
          <w:rFonts w:ascii="Verdana" w:hAnsi="Verdana"/>
          <w:b/>
          <w:bCs/>
          <w:i/>
          <w:color w:val="000000"/>
          <w:sz w:val="18"/>
          <w:szCs w:val="18"/>
          <w:lang w:val="es-ES"/>
        </w:rPr>
        <w:t>Establecimientos privados, de enseñanza en general:</w:t>
      </w:r>
      <w:r w:rsidRPr="00D26912">
        <w:rPr>
          <w:rFonts w:ascii="Verdana" w:hAnsi="Verdana"/>
          <w:i/>
          <w:color w:val="000000"/>
          <w:sz w:val="18"/>
          <w:szCs w:val="18"/>
          <w:lang w:val="es-ES"/>
        </w:rPr>
        <w:t> Establecimientos privados, de enseñanza, directa o por correspondencia, no incluidos en los incisos a) y b).</w:t>
      </w:r>
    </w:p>
    <w:p w:rsidR="00D26912" w:rsidRPr="00D26912" w:rsidRDefault="00D26912" w:rsidP="00D26912">
      <w:pPr>
        <w:spacing w:before="80" w:line="360" w:lineRule="auto"/>
        <w:ind w:left="105" w:right="105" w:firstLine="105"/>
        <w:jc w:val="both"/>
        <w:rPr>
          <w:rFonts w:ascii="Arial" w:hAnsi="Arial" w:cs="Arial"/>
          <w:sz w:val="22"/>
          <w:szCs w:val="22"/>
          <w:lang w:val="es-ES"/>
        </w:rPr>
      </w:pPr>
    </w:p>
    <w:p w:rsidR="00D26912" w:rsidRPr="00D26912" w:rsidRDefault="00D26912" w:rsidP="00D26912">
      <w:pPr>
        <w:spacing w:before="80" w:line="360" w:lineRule="auto"/>
        <w:ind w:left="105" w:right="105" w:firstLine="105"/>
        <w:jc w:val="both"/>
        <w:rPr>
          <w:rFonts w:ascii="Arial" w:hAnsi="Arial" w:cs="Arial"/>
          <w:sz w:val="22"/>
          <w:szCs w:val="22"/>
          <w:lang w:val="es-ES"/>
        </w:rPr>
      </w:pPr>
      <w:r w:rsidRPr="00D26912">
        <w:rPr>
          <w:rFonts w:ascii="Arial" w:hAnsi="Arial" w:cs="Arial"/>
          <w:sz w:val="22"/>
          <w:szCs w:val="22"/>
          <w:lang w:val="es-ES"/>
        </w:rPr>
        <w:tab/>
      </w:r>
      <w:r w:rsidRPr="00D26912">
        <w:rPr>
          <w:rFonts w:ascii="Arial" w:hAnsi="Arial" w:cs="Arial"/>
          <w:sz w:val="22"/>
          <w:szCs w:val="22"/>
          <w:lang w:val="es-ES"/>
        </w:rPr>
        <w:tab/>
        <w:t>A saber:</w:t>
      </w:r>
    </w:p>
    <w:p w:rsidR="00D26912" w:rsidRPr="00D26912" w:rsidRDefault="00D26912" w:rsidP="00D26912">
      <w:pPr>
        <w:spacing w:line="360" w:lineRule="auto"/>
        <w:jc w:val="both"/>
        <w:rPr>
          <w:rFonts w:ascii="Arial" w:hAnsi="Arial" w:cs="Arial"/>
          <w:sz w:val="22"/>
          <w:szCs w:val="22"/>
          <w:u w:val="single"/>
        </w:rPr>
      </w:pPr>
      <w:r w:rsidRPr="00D26912">
        <w:rPr>
          <w:rFonts w:ascii="Arial" w:hAnsi="Arial" w:cs="Arial"/>
          <w:b/>
          <w:bCs/>
          <w:sz w:val="22"/>
          <w:szCs w:val="22"/>
        </w:rPr>
        <w:t xml:space="preserve"> </w:t>
      </w:r>
    </w:p>
    <w:p w:rsidR="00D26912" w:rsidRPr="00D26912" w:rsidRDefault="00D26912" w:rsidP="00D26912">
      <w:pPr>
        <w:numPr>
          <w:ilvl w:val="0"/>
          <w:numId w:val="5"/>
        </w:numPr>
        <w:spacing w:line="276" w:lineRule="auto"/>
        <w:jc w:val="both"/>
        <w:rPr>
          <w:rFonts w:ascii="Arial" w:hAnsi="Arial" w:cs="Arial"/>
          <w:sz w:val="22"/>
          <w:szCs w:val="22"/>
          <w:u w:val="single"/>
        </w:rPr>
      </w:pPr>
      <w:r w:rsidRPr="00D26912">
        <w:rPr>
          <w:rFonts w:ascii="Arial" w:hAnsi="Arial" w:cs="Arial"/>
          <w:b/>
          <w:bCs/>
          <w:sz w:val="22"/>
          <w:szCs w:val="22"/>
          <w:u w:val="single"/>
        </w:rPr>
        <w:t>RESOLUCION 459/84 CGEP</w:t>
      </w:r>
    </w:p>
    <w:p w:rsidR="00D26912" w:rsidRPr="00D26912" w:rsidRDefault="00D26912" w:rsidP="00D26912">
      <w:pPr>
        <w:spacing w:line="276" w:lineRule="auto"/>
        <w:jc w:val="both"/>
        <w:rPr>
          <w:rFonts w:ascii="Arial" w:hAnsi="Arial" w:cs="Arial"/>
          <w:sz w:val="22"/>
          <w:szCs w:val="22"/>
        </w:rPr>
      </w:pPr>
      <w:r w:rsidRPr="00D26912">
        <w:rPr>
          <w:rFonts w:ascii="Arial" w:hAnsi="Arial" w:cs="Arial"/>
          <w:sz w:val="22"/>
          <w:szCs w:val="22"/>
        </w:rPr>
        <w:t> </w:t>
      </w:r>
    </w:p>
    <w:p w:rsidR="00D26912" w:rsidRPr="00D26912" w:rsidRDefault="00D26912" w:rsidP="00D26912">
      <w:pPr>
        <w:spacing w:line="276" w:lineRule="auto"/>
        <w:jc w:val="both"/>
        <w:rPr>
          <w:rFonts w:ascii="Arial" w:hAnsi="Arial" w:cs="Arial"/>
          <w:sz w:val="22"/>
          <w:szCs w:val="22"/>
        </w:rPr>
      </w:pPr>
      <w:r w:rsidRPr="00D26912">
        <w:rPr>
          <w:rFonts w:ascii="Arial" w:hAnsi="Arial" w:cs="Arial"/>
          <w:b/>
          <w:bCs/>
          <w:sz w:val="22"/>
          <w:szCs w:val="22"/>
        </w:rPr>
        <w:t>Art. 4º:</w:t>
      </w:r>
      <w:r w:rsidRPr="00D26912">
        <w:rPr>
          <w:rFonts w:ascii="Arial" w:hAnsi="Arial" w:cs="Arial"/>
          <w:sz w:val="22"/>
          <w:szCs w:val="22"/>
        </w:rPr>
        <w:t xml:space="preserve"> El personal tendrá derecho a gozar de las siguientes licencias pagas:</w:t>
      </w:r>
    </w:p>
    <w:p w:rsidR="00D26912" w:rsidRPr="00D26912" w:rsidRDefault="00D26912" w:rsidP="00D26912">
      <w:pPr>
        <w:numPr>
          <w:ilvl w:val="0"/>
          <w:numId w:val="6"/>
        </w:numPr>
        <w:spacing w:line="276" w:lineRule="auto"/>
        <w:jc w:val="both"/>
        <w:rPr>
          <w:rFonts w:ascii="Arial" w:hAnsi="Arial" w:cs="Arial"/>
          <w:sz w:val="22"/>
          <w:szCs w:val="22"/>
        </w:rPr>
      </w:pPr>
      <w:r w:rsidRPr="00D26912">
        <w:rPr>
          <w:rFonts w:ascii="Arial" w:hAnsi="Arial" w:cs="Arial"/>
          <w:sz w:val="22"/>
          <w:szCs w:val="22"/>
        </w:rPr>
        <w:t xml:space="preserve">Por contraer matrimonio: </w:t>
      </w:r>
      <w:bookmarkStart w:id="0" w:name="OLE_LINK4"/>
      <w:bookmarkStart w:id="1" w:name="OLE_LINK5"/>
      <w:r w:rsidRPr="00D26912">
        <w:rPr>
          <w:rFonts w:ascii="Arial" w:hAnsi="Arial" w:cs="Arial"/>
          <w:sz w:val="22"/>
          <w:szCs w:val="22"/>
        </w:rPr>
        <w:t>15 días continuados</w:t>
      </w:r>
      <w:bookmarkEnd w:id="0"/>
      <w:bookmarkEnd w:id="1"/>
      <w:r w:rsidRPr="00D26912">
        <w:rPr>
          <w:rFonts w:ascii="Arial" w:hAnsi="Arial" w:cs="Arial"/>
          <w:sz w:val="22"/>
          <w:szCs w:val="22"/>
        </w:rPr>
        <w:t>;</w:t>
      </w:r>
    </w:p>
    <w:p w:rsidR="00D26912" w:rsidRPr="00D26912" w:rsidRDefault="00D26912" w:rsidP="00D26912">
      <w:pPr>
        <w:numPr>
          <w:ilvl w:val="0"/>
          <w:numId w:val="6"/>
        </w:numPr>
        <w:spacing w:line="276" w:lineRule="auto"/>
        <w:jc w:val="both"/>
        <w:rPr>
          <w:rFonts w:ascii="Arial" w:hAnsi="Arial" w:cs="Arial"/>
          <w:sz w:val="22"/>
          <w:szCs w:val="22"/>
        </w:rPr>
      </w:pPr>
      <w:r w:rsidRPr="00D26912">
        <w:rPr>
          <w:rFonts w:ascii="Arial" w:hAnsi="Arial" w:cs="Arial"/>
          <w:sz w:val="22"/>
          <w:szCs w:val="22"/>
        </w:rPr>
        <w:t xml:space="preserve">Por nacimiento de hijos: </w:t>
      </w:r>
      <w:bookmarkStart w:id="2" w:name="OLE_LINK6"/>
      <w:bookmarkStart w:id="3" w:name="OLE_LINK7"/>
      <w:r w:rsidRPr="00D26912">
        <w:rPr>
          <w:rFonts w:ascii="Arial" w:hAnsi="Arial" w:cs="Arial"/>
          <w:sz w:val="22"/>
          <w:szCs w:val="22"/>
        </w:rPr>
        <w:t>2 días de los cuales, 1 al menos deberá ser hábil</w:t>
      </w:r>
      <w:bookmarkEnd w:id="2"/>
      <w:bookmarkEnd w:id="3"/>
      <w:r w:rsidRPr="00D26912">
        <w:rPr>
          <w:rFonts w:ascii="Arial" w:hAnsi="Arial" w:cs="Arial"/>
          <w:sz w:val="22"/>
          <w:szCs w:val="22"/>
        </w:rPr>
        <w:t>.</w:t>
      </w:r>
    </w:p>
    <w:p w:rsidR="00D26912" w:rsidRPr="00D26912" w:rsidRDefault="00D26912" w:rsidP="00D26912">
      <w:pPr>
        <w:numPr>
          <w:ilvl w:val="0"/>
          <w:numId w:val="6"/>
        </w:numPr>
        <w:spacing w:line="276" w:lineRule="auto"/>
        <w:jc w:val="both"/>
        <w:rPr>
          <w:rFonts w:ascii="Arial" w:hAnsi="Arial" w:cs="Arial"/>
          <w:sz w:val="22"/>
          <w:szCs w:val="22"/>
        </w:rPr>
      </w:pPr>
      <w:r w:rsidRPr="00D26912">
        <w:rPr>
          <w:rFonts w:ascii="Arial" w:hAnsi="Arial" w:cs="Arial"/>
          <w:sz w:val="22"/>
          <w:szCs w:val="22"/>
        </w:rPr>
        <w:t xml:space="preserve">Por fallecimiento de padres, cónyuges, hijos y hermanos que residen en el país: </w:t>
      </w:r>
      <w:bookmarkStart w:id="4" w:name="OLE_LINK9"/>
      <w:r w:rsidRPr="00D26912">
        <w:rPr>
          <w:rFonts w:ascii="Arial" w:hAnsi="Arial" w:cs="Arial"/>
          <w:sz w:val="22"/>
          <w:szCs w:val="22"/>
        </w:rPr>
        <w:t>4 días</w:t>
      </w:r>
      <w:bookmarkEnd w:id="4"/>
      <w:r w:rsidRPr="00D26912">
        <w:rPr>
          <w:rFonts w:ascii="Arial" w:hAnsi="Arial" w:cs="Arial"/>
          <w:sz w:val="22"/>
          <w:szCs w:val="22"/>
        </w:rPr>
        <w:t>;</w:t>
      </w:r>
    </w:p>
    <w:p w:rsidR="00D26912" w:rsidRPr="00D26912" w:rsidRDefault="00D26912" w:rsidP="00D26912">
      <w:pPr>
        <w:numPr>
          <w:ilvl w:val="0"/>
          <w:numId w:val="6"/>
        </w:numPr>
        <w:spacing w:line="276" w:lineRule="auto"/>
        <w:jc w:val="both"/>
        <w:rPr>
          <w:rFonts w:ascii="Arial" w:hAnsi="Arial" w:cs="Arial"/>
          <w:sz w:val="22"/>
          <w:szCs w:val="22"/>
        </w:rPr>
      </w:pPr>
      <w:r w:rsidRPr="00D26912">
        <w:rPr>
          <w:rFonts w:ascii="Arial" w:hAnsi="Arial" w:cs="Arial"/>
          <w:sz w:val="22"/>
          <w:szCs w:val="22"/>
        </w:rPr>
        <w:t xml:space="preserve">Por fallecimiento de nietos, abuelos, hijos políticos, suegros y hermanos políticos: </w:t>
      </w:r>
      <w:bookmarkStart w:id="5" w:name="OLE_LINK8"/>
      <w:r w:rsidRPr="00D26912">
        <w:rPr>
          <w:rFonts w:ascii="Arial" w:hAnsi="Arial" w:cs="Arial"/>
          <w:sz w:val="22"/>
          <w:szCs w:val="22"/>
        </w:rPr>
        <w:t>2 días, de los cuales 1 será hábil</w:t>
      </w:r>
      <w:bookmarkEnd w:id="5"/>
      <w:r w:rsidRPr="00D26912">
        <w:rPr>
          <w:rFonts w:ascii="Arial" w:hAnsi="Arial" w:cs="Arial"/>
          <w:sz w:val="22"/>
          <w:szCs w:val="22"/>
        </w:rPr>
        <w:t>;</w:t>
      </w:r>
    </w:p>
    <w:p w:rsidR="00D26912" w:rsidRPr="00D26912" w:rsidRDefault="00D26912" w:rsidP="00D26912">
      <w:pPr>
        <w:numPr>
          <w:ilvl w:val="0"/>
          <w:numId w:val="6"/>
        </w:numPr>
        <w:spacing w:line="276" w:lineRule="auto"/>
        <w:jc w:val="both"/>
        <w:rPr>
          <w:rFonts w:ascii="Arial" w:hAnsi="Arial" w:cs="Arial"/>
          <w:sz w:val="22"/>
          <w:szCs w:val="22"/>
        </w:rPr>
      </w:pPr>
      <w:r w:rsidRPr="00D26912">
        <w:rPr>
          <w:rFonts w:ascii="Arial" w:hAnsi="Arial" w:cs="Arial"/>
          <w:sz w:val="22"/>
          <w:szCs w:val="22"/>
        </w:rPr>
        <w:t xml:space="preserve">Para rendir examen en la enseñanza media o universitaria: </w:t>
      </w:r>
      <w:bookmarkStart w:id="6" w:name="OLE_LINK10"/>
      <w:bookmarkStart w:id="7" w:name="OLE_LINK11"/>
      <w:r w:rsidRPr="00D26912">
        <w:rPr>
          <w:rFonts w:ascii="Arial" w:hAnsi="Arial" w:cs="Arial"/>
          <w:sz w:val="22"/>
          <w:szCs w:val="22"/>
        </w:rPr>
        <w:t>2 días corridos por cada examen, con un máximo de 10 días por año calendario</w:t>
      </w:r>
      <w:bookmarkEnd w:id="6"/>
      <w:r w:rsidRPr="00D26912">
        <w:rPr>
          <w:rFonts w:ascii="Arial" w:hAnsi="Arial" w:cs="Arial"/>
          <w:sz w:val="22"/>
          <w:szCs w:val="22"/>
        </w:rPr>
        <w:t>. Los exámenes deberán estar referidos a los planes oficiales de enseñanza o autorizados por el organismo nacional o provincial competente</w:t>
      </w:r>
      <w:bookmarkEnd w:id="7"/>
      <w:r w:rsidRPr="00D26912">
        <w:rPr>
          <w:rFonts w:ascii="Arial" w:hAnsi="Arial" w:cs="Arial"/>
          <w:sz w:val="22"/>
          <w:szCs w:val="22"/>
        </w:rPr>
        <w:t xml:space="preserve">. El beneficiario deberá acreditar ante los empleadores haber rendido el examen mediante la presentación de un certificado expedido por la autoridad competente del Instituto donde rindió el examen.    </w:t>
      </w:r>
    </w:p>
    <w:p w:rsidR="00D26912" w:rsidRPr="00D26912" w:rsidRDefault="00D26912" w:rsidP="00D26912">
      <w:pPr>
        <w:spacing w:line="276" w:lineRule="auto"/>
        <w:jc w:val="both"/>
        <w:rPr>
          <w:rFonts w:ascii="Arial" w:hAnsi="Arial" w:cs="Arial"/>
          <w:sz w:val="22"/>
          <w:szCs w:val="22"/>
        </w:rPr>
      </w:pPr>
      <w:r w:rsidRPr="00D26912">
        <w:rPr>
          <w:rFonts w:ascii="Arial" w:hAnsi="Arial" w:cs="Arial"/>
          <w:sz w:val="22"/>
          <w:szCs w:val="22"/>
        </w:rPr>
        <w:t> </w:t>
      </w:r>
    </w:p>
    <w:p w:rsidR="00D26912" w:rsidRPr="00D26912" w:rsidRDefault="00D26912" w:rsidP="00D26912">
      <w:pPr>
        <w:keepNext/>
        <w:numPr>
          <w:ilvl w:val="0"/>
          <w:numId w:val="5"/>
        </w:numPr>
        <w:spacing w:before="240" w:after="60" w:line="276" w:lineRule="auto"/>
        <w:outlineLvl w:val="0"/>
        <w:rPr>
          <w:rFonts w:ascii="Arial" w:hAnsi="Arial" w:cs="Arial"/>
          <w:b/>
          <w:bCs/>
          <w:kern w:val="32"/>
          <w:sz w:val="22"/>
          <w:szCs w:val="22"/>
          <w:u w:val="single"/>
        </w:rPr>
      </w:pPr>
      <w:r w:rsidRPr="00D26912">
        <w:rPr>
          <w:rFonts w:ascii="Arial" w:hAnsi="Arial" w:cs="Arial"/>
          <w:b/>
          <w:bCs/>
          <w:kern w:val="32"/>
          <w:sz w:val="22"/>
          <w:szCs w:val="22"/>
          <w:u w:val="single"/>
        </w:rPr>
        <w:t>RESOLUCION 340/88 CGEP</w:t>
      </w:r>
    </w:p>
    <w:p w:rsidR="00D26912" w:rsidRPr="00D26912" w:rsidRDefault="00D26912" w:rsidP="00D26912">
      <w:pPr>
        <w:spacing w:line="276" w:lineRule="auto"/>
        <w:rPr>
          <w:rFonts w:ascii="Arial" w:hAnsi="Arial" w:cs="Arial"/>
          <w:sz w:val="22"/>
          <w:szCs w:val="22"/>
        </w:rPr>
      </w:pPr>
    </w:p>
    <w:p w:rsidR="00D26912" w:rsidRPr="00D26912" w:rsidRDefault="00D26912" w:rsidP="00D26912">
      <w:pPr>
        <w:numPr>
          <w:ilvl w:val="0"/>
          <w:numId w:val="7"/>
        </w:numPr>
        <w:spacing w:line="276" w:lineRule="auto"/>
        <w:jc w:val="both"/>
        <w:rPr>
          <w:rFonts w:ascii="Arial" w:hAnsi="Arial" w:cs="Arial"/>
          <w:sz w:val="22"/>
          <w:szCs w:val="22"/>
        </w:rPr>
      </w:pPr>
      <w:r w:rsidRPr="00D26912">
        <w:rPr>
          <w:rFonts w:ascii="Arial" w:hAnsi="Arial" w:cs="Arial"/>
          <w:sz w:val="22"/>
          <w:szCs w:val="22"/>
        </w:rPr>
        <w:t>Podrá hacer uso de licencia sin goce de sueldo por asuntos particulares en forma continua o fraccionada hasta completar seis meses dentro de cada decenio. Para gozar de esta licencia el empleado deberá tener una antigüedad de dos años en el cargo.</w:t>
      </w:r>
    </w:p>
    <w:p w:rsidR="00D26912" w:rsidRPr="00D26912" w:rsidRDefault="00D26912" w:rsidP="00D26912">
      <w:pPr>
        <w:spacing w:line="276" w:lineRule="auto"/>
        <w:jc w:val="both"/>
        <w:rPr>
          <w:rFonts w:ascii="Arial" w:hAnsi="Arial" w:cs="Arial"/>
          <w:sz w:val="22"/>
          <w:szCs w:val="22"/>
        </w:rPr>
      </w:pPr>
    </w:p>
    <w:p w:rsidR="00D26912" w:rsidRPr="00D26912" w:rsidRDefault="00D26912" w:rsidP="00D26912">
      <w:pPr>
        <w:spacing w:line="276" w:lineRule="auto"/>
        <w:jc w:val="center"/>
        <w:rPr>
          <w:rFonts w:ascii="Arial" w:hAnsi="Arial" w:cs="Arial"/>
          <w:b/>
          <w:bCs/>
          <w:sz w:val="22"/>
          <w:szCs w:val="22"/>
          <w:lang w:val="x-none"/>
        </w:rPr>
      </w:pPr>
    </w:p>
    <w:p w:rsidR="00D26912" w:rsidRPr="00D26912" w:rsidRDefault="00D26912" w:rsidP="00D26912">
      <w:pPr>
        <w:numPr>
          <w:ilvl w:val="0"/>
          <w:numId w:val="5"/>
        </w:numPr>
        <w:spacing w:line="276" w:lineRule="auto"/>
        <w:ind w:firstLine="480"/>
        <w:rPr>
          <w:rFonts w:ascii="Arial" w:hAnsi="Arial" w:cs="Arial"/>
          <w:b/>
          <w:bCs/>
          <w:sz w:val="22"/>
          <w:szCs w:val="22"/>
          <w:u w:val="single"/>
          <w:lang w:val="x-none"/>
        </w:rPr>
      </w:pPr>
      <w:r w:rsidRPr="00D26912">
        <w:rPr>
          <w:rFonts w:ascii="Arial" w:hAnsi="Arial" w:cs="Arial"/>
          <w:b/>
          <w:bCs/>
          <w:sz w:val="22"/>
          <w:szCs w:val="22"/>
          <w:u w:val="single"/>
          <w:lang w:val="x-none"/>
        </w:rPr>
        <w:t>LEY 20744</w:t>
      </w:r>
      <w:r w:rsidRPr="00D26912">
        <w:rPr>
          <w:rFonts w:ascii="Arial" w:hAnsi="Arial" w:cs="Arial"/>
          <w:b/>
          <w:bCs/>
          <w:sz w:val="22"/>
          <w:szCs w:val="22"/>
          <w:u w:val="single"/>
        </w:rPr>
        <w:t>- Ley de contrato de trabajo:</w:t>
      </w:r>
    </w:p>
    <w:p w:rsidR="00D26912" w:rsidRPr="00D26912" w:rsidRDefault="00D26912" w:rsidP="00D26912">
      <w:pPr>
        <w:spacing w:before="100" w:beforeAutospacing="1" w:after="100" w:afterAutospacing="1" w:line="276" w:lineRule="auto"/>
        <w:ind w:right="669" w:firstLine="480"/>
        <w:jc w:val="center"/>
        <w:rPr>
          <w:rFonts w:ascii="Arial" w:hAnsi="Arial" w:cs="Arial"/>
          <w:sz w:val="22"/>
          <w:szCs w:val="22"/>
          <w:lang w:val="es-ES"/>
        </w:rPr>
      </w:pPr>
      <w:r w:rsidRPr="00D26912">
        <w:rPr>
          <w:rFonts w:ascii="Arial" w:hAnsi="Arial" w:cs="Arial"/>
          <w:sz w:val="22"/>
          <w:szCs w:val="22"/>
          <w:lang w:val="es-ES"/>
        </w:rPr>
        <w:t xml:space="preserve"> </w:t>
      </w:r>
    </w:p>
    <w:p w:rsidR="00D26912" w:rsidRPr="00D26912" w:rsidRDefault="00D26912" w:rsidP="00D26912">
      <w:pPr>
        <w:numPr>
          <w:ilvl w:val="0"/>
          <w:numId w:val="8"/>
        </w:numPr>
        <w:spacing w:before="100" w:beforeAutospacing="1" w:after="100" w:afterAutospacing="1" w:line="276" w:lineRule="auto"/>
        <w:jc w:val="both"/>
        <w:rPr>
          <w:rFonts w:ascii="Arial" w:hAnsi="Arial" w:cs="Arial"/>
          <w:b/>
          <w:sz w:val="22"/>
          <w:szCs w:val="22"/>
          <w:lang w:val="es-ES"/>
        </w:rPr>
      </w:pPr>
      <w:r w:rsidRPr="00D26912">
        <w:rPr>
          <w:rFonts w:ascii="Arial" w:hAnsi="Arial" w:cs="Arial"/>
          <w:b/>
          <w:sz w:val="22"/>
          <w:szCs w:val="22"/>
          <w:lang w:val="es-ES"/>
        </w:rPr>
        <w:t>Licencia por enfermedad:</w:t>
      </w:r>
    </w:p>
    <w:p w:rsidR="00D26912" w:rsidRPr="00D26912" w:rsidRDefault="00D26912" w:rsidP="00D26912">
      <w:pPr>
        <w:spacing w:before="100" w:beforeAutospacing="1" w:after="100" w:afterAutospacing="1" w:line="276" w:lineRule="auto"/>
        <w:ind w:left="1200"/>
        <w:jc w:val="both"/>
        <w:rPr>
          <w:rFonts w:ascii="Arial" w:hAnsi="Arial" w:cs="Arial"/>
          <w:sz w:val="22"/>
          <w:szCs w:val="22"/>
          <w:lang w:val="es-ES"/>
        </w:rPr>
      </w:pPr>
      <w:r w:rsidRPr="00D26912">
        <w:rPr>
          <w:rFonts w:ascii="Arial" w:hAnsi="Arial" w:cs="Arial"/>
          <w:sz w:val="22"/>
          <w:szCs w:val="22"/>
          <w:lang w:val="es-ES"/>
        </w:rPr>
        <w:t>Art. 208. —Plazo. Remuneración.</w:t>
      </w:r>
    </w:p>
    <w:p w:rsidR="00D26912" w:rsidRPr="00D26912" w:rsidRDefault="00D26912" w:rsidP="00D26912">
      <w:pPr>
        <w:spacing w:before="100" w:beforeAutospacing="1" w:after="100" w:afterAutospacing="1" w:line="276" w:lineRule="auto"/>
        <w:ind w:left="426" w:firstLine="54"/>
        <w:jc w:val="both"/>
        <w:rPr>
          <w:rFonts w:ascii="Arial" w:hAnsi="Arial" w:cs="Arial"/>
          <w:sz w:val="22"/>
          <w:szCs w:val="22"/>
          <w:lang w:val="es-ES"/>
        </w:rPr>
      </w:pPr>
      <w:r w:rsidRPr="00D26912">
        <w:rPr>
          <w:rFonts w:ascii="Arial" w:hAnsi="Arial" w:cs="Arial"/>
          <w:sz w:val="22"/>
          <w:szCs w:val="22"/>
          <w:lang w:val="es-ES"/>
        </w:rPr>
        <w:t xml:space="preserve">Cada accidente o enfermedad inculpable que impida la prestación del servicio no afectará el derecho del trabajador a percibir su remuneración durante un período de tres (3) meses, si su antigüedad en el servicio fuere menor de cinco (5) años, y de seis (6) meses si fuera mayor. En los casos que el trabajador tuviere carga de familia y por las mismas circunstancias se encontrara impedido de concurrir al trabajo, los períodos durante los cuales tendrá derecho a percibir su remuneración se extenderán a seis (6) y doce (12) meses respectivamente, según si su antigüedad fuese inferior o superior a cinco (5) años. La recidiva de enfermedades crónicas no será considerada enfermedad, salvo que se </w:t>
      </w:r>
      <w:proofErr w:type="gramStart"/>
      <w:r w:rsidRPr="00D26912">
        <w:rPr>
          <w:rFonts w:ascii="Arial" w:hAnsi="Arial" w:cs="Arial"/>
          <w:sz w:val="22"/>
          <w:szCs w:val="22"/>
          <w:lang w:val="es-ES"/>
        </w:rPr>
        <w:t>manifestara</w:t>
      </w:r>
      <w:proofErr w:type="gramEnd"/>
      <w:r w:rsidRPr="00D26912">
        <w:rPr>
          <w:rFonts w:ascii="Arial" w:hAnsi="Arial" w:cs="Arial"/>
          <w:sz w:val="22"/>
          <w:szCs w:val="22"/>
          <w:lang w:val="es-ES"/>
        </w:rPr>
        <w:t xml:space="preserve"> transcurridos los dos (2) años. </w:t>
      </w:r>
    </w:p>
    <w:p w:rsidR="00D26912" w:rsidRPr="00D26912" w:rsidRDefault="00D26912" w:rsidP="00D26912">
      <w:pPr>
        <w:spacing w:before="100" w:beforeAutospacing="1" w:after="100" w:afterAutospacing="1" w:line="276" w:lineRule="auto"/>
        <w:ind w:left="426" w:firstLine="54"/>
        <w:jc w:val="both"/>
        <w:rPr>
          <w:rFonts w:ascii="Arial" w:hAnsi="Arial" w:cs="Arial"/>
          <w:sz w:val="22"/>
          <w:szCs w:val="22"/>
          <w:lang w:val="es-ES"/>
        </w:rPr>
      </w:pPr>
      <w:r w:rsidRPr="00D26912">
        <w:rPr>
          <w:rFonts w:ascii="Arial" w:hAnsi="Arial" w:cs="Arial"/>
          <w:sz w:val="22"/>
          <w:szCs w:val="22"/>
          <w:lang w:val="es-ES"/>
        </w:rPr>
        <w:t>La remuneración que en estos casos corresponda abonar al trabajador se liquidará conforme a la que perciba en el momento de la interrupción de los servicios, con más los aumentos que durante el período de interrupción fueren acordados a los de su misma categoría por aplicación de una norma legal, convención colectiva de trabajo o decisión del empleador. Si el salario estuviere integrado por remuneraciones variables, se liquidará en cuanto a esta parte según el promedio de lo percibido en el último semestre de prestación de servicios, no pudiendo, en ningún caso, la remuneración del trabajador enfermo o accidentado ser inferior a la que hubiese percibido de no haberse operado el impedimento. Las prestaciones en especie que el trabajador dejare de percibir como consecuencia del accidente o enfermedad serán valorizadas adecuadamente.</w:t>
      </w:r>
    </w:p>
    <w:p w:rsidR="00D26912" w:rsidRPr="00D26912" w:rsidRDefault="00D26912" w:rsidP="00D26912">
      <w:pPr>
        <w:spacing w:before="100" w:beforeAutospacing="1" w:after="100" w:afterAutospacing="1" w:line="276" w:lineRule="auto"/>
        <w:ind w:left="426" w:firstLine="54"/>
        <w:jc w:val="both"/>
        <w:rPr>
          <w:rFonts w:ascii="Arial" w:hAnsi="Arial" w:cs="Arial"/>
          <w:sz w:val="22"/>
          <w:szCs w:val="22"/>
          <w:lang w:val="es-ES"/>
        </w:rPr>
      </w:pPr>
      <w:r w:rsidRPr="00D26912">
        <w:rPr>
          <w:rFonts w:ascii="Arial" w:hAnsi="Arial" w:cs="Arial"/>
          <w:sz w:val="22"/>
          <w:szCs w:val="22"/>
          <w:lang w:val="es-ES"/>
        </w:rPr>
        <w:t>La suspensión por causas económicas o disciplinarias dispuestas por el empleador no afectará el derecho del trabajador a percibir la remuneración por los plazos previstos, sea que aquélla se dispusiera estando el trabajador enfermo o accidentado, o que estas circunstancias fuesen sobrevinientes.</w:t>
      </w:r>
    </w:p>
    <w:p w:rsidR="00D26912" w:rsidRPr="00D26912" w:rsidRDefault="00D26912" w:rsidP="00D26912">
      <w:pPr>
        <w:spacing w:before="100" w:beforeAutospacing="1" w:after="100" w:afterAutospacing="1" w:line="276" w:lineRule="auto"/>
        <w:ind w:firstLine="480"/>
        <w:jc w:val="both"/>
        <w:rPr>
          <w:rFonts w:ascii="Arial" w:hAnsi="Arial" w:cs="Arial"/>
          <w:sz w:val="22"/>
          <w:szCs w:val="22"/>
          <w:lang w:val="es-ES"/>
        </w:rPr>
      </w:pPr>
      <w:r w:rsidRPr="00D26912">
        <w:rPr>
          <w:rFonts w:ascii="Arial" w:hAnsi="Arial" w:cs="Arial"/>
          <w:sz w:val="22"/>
          <w:szCs w:val="22"/>
          <w:lang w:val="es-ES"/>
        </w:rPr>
        <w:t>Art. 211. —Conservación del empleo.</w:t>
      </w:r>
    </w:p>
    <w:p w:rsidR="00D26912" w:rsidRPr="00D26912" w:rsidRDefault="00D26912" w:rsidP="00D26912">
      <w:pPr>
        <w:spacing w:before="100" w:beforeAutospacing="1" w:after="100" w:afterAutospacing="1" w:line="276" w:lineRule="auto"/>
        <w:ind w:firstLine="480"/>
        <w:jc w:val="both"/>
        <w:rPr>
          <w:rFonts w:ascii="Arial" w:hAnsi="Arial" w:cs="Arial"/>
          <w:sz w:val="22"/>
          <w:szCs w:val="22"/>
          <w:lang w:val="es-ES"/>
        </w:rPr>
      </w:pPr>
      <w:r w:rsidRPr="00D26912">
        <w:rPr>
          <w:rFonts w:ascii="Arial" w:hAnsi="Arial" w:cs="Arial"/>
          <w:sz w:val="22"/>
          <w:szCs w:val="22"/>
          <w:lang w:val="es-ES"/>
        </w:rPr>
        <w:t>Vencidos los plazos de interrupción del trabajo por causa de accidente o enfermedad inculpable, si el trabajador no estuviera en condiciones de volver a su empleo, el empleador deberá conservárselo durante el plazo de un (1) año contado desde el vencimiento de aquéllos. Vencido dicho plazo, la relación de empleo subsistirá hasta tanto alguna de las partes decida y notifique a la otra su voluntad de rescindirla. La extinción del contrato de trabajo en tal forma, exime a las partes de responsabilidad indemnizatoria.</w:t>
      </w:r>
    </w:p>
    <w:p w:rsidR="00D26912" w:rsidRPr="00D26912" w:rsidRDefault="00D26912" w:rsidP="00D26912">
      <w:pPr>
        <w:spacing w:before="100" w:beforeAutospacing="1" w:after="100" w:afterAutospacing="1" w:line="276" w:lineRule="auto"/>
        <w:ind w:firstLine="480"/>
        <w:jc w:val="both"/>
        <w:rPr>
          <w:rFonts w:ascii="Arial" w:hAnsi="Arial" w:cs="Arial"/>
          <w:sz w:val="22"/>
          <w:szCs w:val="22"/>
          <w:lang w:val="es-ES"/>
        </w:rPr>
      </w:pPr>
    </w:p>
    <w:p w:rsidR="00D26912" w:rsidRPr="00D26912" w:rsidRDefault="00D26912" w:rsidP="00D26912">
      <w:pPr>
        <w:numPr>
          <w:ilvl w:val="0"/>
          <w:numId w:val="8"/>
        </w:numPr>
        <w:spacing w:before="150" w:after="300"/>
        <w:ind w:right="600"/>
        <w:rPr>
          <w:rFonts w:ascii="Arial" w:hAnsi="Arial" w:cs="Arial"/>
          <w:b/>
          <w:bCs/>
          <w:color w:val="000000"/>
          <w:sz w:val="22"/>
          <w:szCs w:val="22"/>
          <w:u w:val="single"/>
          <w:lang w:val="es-ES"/>
        </w:rPr>
      </w:pPr>
      <w:r w:rsidRPr="00D26912">
        <w:rPr>
          <w:rFonts w:ascii="Arial" w:hAnsi="Arial" w:cs="Arial"/>
          <w:b/>
          <w:color w:val="000000"/>
          <w:sz w:val="22"/>
          <w:szCs w:val="22"/>
          <w:u w:val="single"/>
          <w:lang w:val="es-ES"/>
        </w:rPr>
        <w:t>Maternidad</w:t>
      </w:r>
    </w:p>
    <w:p w:rsidR="00D26912" w:rsidRPr="00D26912" w:rsidRDefault="00D26912" w:rsidP="00D26912">
      <w:pPr>
        <w:spacing w:before="150" w:after="300"/>
        <w:ind w:left="567" w:right="600"/>
        <w:rPr>
          <w:rFonts w:ascii="Arial" w:hAnsi="Arial" w:cs="Arial"/>
          <w:b/>
          <w:bCs/>
          <w:color w:val="000000"/>
          <w:sz w:val="22"/>
          <w:szCs w:val="22"/>
          <w:lang w:val="es-ES"/>
        </w:rPr>
      </w:pPr>
      <w:r w:rsidRPr="00D26912">
        <w:rPr>
          <w:rFonts w:ascii="Arial" w:hAnsi="Arial" w:cs="Arial"/>
          <w:b/>
          <w:bCs/>
          <w:color w:val="000000"/>
          <w:sz w:val="22"/>
          <w:szCs w:val="22"/>
          <w:lang w:val="es-ES"/>
        </w:rPr>
        <w:t>Art. 177. —Prohibición de trabajar. Conservación del Empleo.</w:t>
      </w:r>
    </w:p>
    <w:p w:rsidR="00D26912" w:rsidRPr="00D26912" w:rsidRDefault="00D26912" w:rsidP="00D26912">
      <w:pPr>
        <w:spacing w:before="150" w:after="300"/>
        <w:ind w:left="600" w:right="600"/>
        <w:jc w:val="both"/>
        <w:rPr>
          <w:rFonts w:ascii="Arial" w:hAnsi="Arial" w:cs="Arial"/>
          <w:color w:val="000000"/>
          <w:sz w:val="22"/>
          <w:szCs w:val="22"/>
          <w:lang w:val="es-ES"/>
        </w:rPr>
      </w:pPr>
      <w:r w:rsidRPr="00D26912">
        <w:rPr>
          <w:rFonts w:ascii="Arial" w:hAnsi="Arial" w:cs="Arial"/>
          <w:color w:val="000000"/>
          <w:sz w:val="22"/>
          <w:szCs w:val="22"/>
          <w:lang w:val="es-ES"/>
        </w:rPr>
        <w:t>Queda prohibido el trabajo del personal femenino durante los cuarenta y cinco (45) días anteriores al parto y hasta cuarenta y cinco (45) días después del mismo. Sin embargo, la interesada podrá optar por que se le reduzca la licencia anterior al parto, que en tal caso no podrá ser inferior a treinta (30) días; el resto del período total de licencia se acumulará al período de descanso posterior al parto. En caso de nacimiento pre-término se acumulará al descanso posterior todo el lapso de licencia que no se hubiere gozado antes del parto, de modo de completar los noventa (90) días.</w:t>
      </w:r>
    </w:p>
    <w:p w:rsidR="00D26912" w:rsidRPr="00D26912" w:rsidRDefault="00D26912" w:rsidP="00D26912">
      <w:pPr>
        <w:spacing w:before="150" w:after="300"/>
        <w:ind w:left="600" w:right="600"/>
        <w:jc w:val="both"/>
        <w:rPr>
          <w:rFonts w:ascii="Arial" w:hAnsi="Arial" w:cs="Arial"/>
          <w:color w:val="000000"/>
          <w:sz w:val="22"/>
          <w:szCs w:val="22"/>
          <w:lang w:val="es-ES"/>
        </w:rPr>
      </w:pPr>
      <w:r w:rsidRPr="00D26912">
        <w:rPr>
          <w:rFonts w:ascii="Arial" w:hAnsi="Arial" w:cs="Arial"/>
          <w:color w:val="000000"/>
          <w:sz w:val="22"/>
          <w:szCs w:val="22"/>
          <w:lang w:val="es-ES"/>
        </w:rPr>
        <w:t>La trabajadora deberá comunicar fehacientemente su embarazo al empleador, con presentación de certificado médico en el que conste la fecha presunta del parto, o requerir su comprobación por el empleador. La trabajadora conservará su empleo durante los períodos indicados, y gozará de las asignaciones que le confieren los sistemas de seguridad social, que garantizarán a la misma la percepción de una suma igual a la retribución que corresponda al período de licencia legal, todo de conformidad con las exigencias y demás requisitos que prevean las reglamentaciones respectivas.</w:t>
      </w:r>
    </w:p>
    <w:p w:rsidR="00D26912" w:rsidRPr="00D26912" w:rsidRDefault="00D26912" w:rsidP="00D26912">
      <w:pPr>
        <w:spacing w:before="150" w:after="300"/>
        <w:ind w:left="567" w:right="141"/>
        <w:jc w:val="both"/>
        <w:rPr>
          <w:rFonts w:ascii="Arial" w:hAnsi="Arial" w:cs="Arial"/>
          <w:color w:val="000000"/>
          <w:sz w:val="22"/>
          <w:szCs w:val="22"/>
          <w:lang w:val="es-ES"/>
        </w:rPr>
      </w:pPr>
      <w:proofErr w:type="spellStart"/>
      <w:r w:rsidRPr="00D26912">
        <w:rPr>
          <w:rFonts w:ascii="Arial" w:hAnsi="Arial" w:cs="Arial"/>
          <w:color w:val="000000"/>
          <w:sz w:val="22"/>
          <w:szCs w:val="22"/>
          <w:lang w:val="es-ES"/>
        </w:rPr>
        <w:t>Garantízase</w:t>
      </w:r>
      <w:proofErr w:type="spellEnd"/>
      <w:r w:rsidRPr="00D26912">
        <w:rPr>
          <w:rFonts w:ascii="Arial" w:hAnsi="Arial" w:cs="Arial"/>
          <w:color w:val="000000"/>
          <w:sz w:val="22"/>
          <w:szCs w:val="22"/>
          <w:lang w:val="es-ES"/>
        </w:rPr>
        <w:t xml:space="preserve"> a toda mujer durante la gestación el derecho a la estabilidad en el empleo. El mismo tendrá carácter de derecho adquirido a partir del momento en que la trabajadora practique la notificación a que se refiere el párrafo anterior.</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En caso de permanecer ausente de su trabajo durante un tiempo mayor, a consecuencia de enfermedad que según certificación médica deba su origen al embarazo o parto y la incapacite para reanudarlo vencidos aquellos plazos, la mujer será acreedora a los beneficios previstos en el artículo 208 de esta ley.</w:t>
      </w:r>
    </w:p>
    <w:p w:rsidR="00D26912" w:rsidRPr="00D26912" w:rsidRDefault="00D26912" w:rsidP="00D26912">
      <w:pPr>
        <w:spacing w:before="150" w:after="300"/>
        <w:ind w:left="567" w:right="141"/>
        <w:rPr>
          <w:rFonts w:ascii="Arial" w:hAnsi="Arial" w:cs="Arial"/>
          <w:b/>
          <w:bCs/>
          <w:color w:val="000000"/>
          <w:sz w:val="22"/>
          <w:szCs w:val="22"/>
          <w:lang w:val="es-ES"/>
        </w:rPr>
      </w:pPr>
      <w:r w:rsidRPr="00D26912">
        <w:rPr>
          <w:rFonts w:ascii="Arial" w:hAnsi="Arial" w:cs="Arial"/>
          <w:b/>
          <w:bCs/>
          <w:color w:val="000000"/>
          <w:sz w:val="22"/>
          <w:szCs w:val="22"/>
          <w:lang w:val="es-ES"/>
        </w:rPr>
        <w:t>Art. 179. —Descansos diarios por lactancia.</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Toda trabajadora madre de lactante podrá disponer de dos (2) descansos de media hora para amamantar a su hijo, en el transcurso de la jornada de trabajo, y por un período no superior a un (1) año posterior a la fecha del nacimiento, salvo que por razones médicas sea necesario que la madre amamante a su hijo por lapso más prolongado. En los establecimientos donde preste servicios el número mínimo de trabajadoras que determine la reglamentación, el empleador deberá habilitar salas maternales y guarderías para niños hasta la edad y en las condiciones que oportunamente se establezcan.</w:t>
      </w:r>
    </w:p>
    <w:p w:rsidR="00D26912" w:rsidRPr="00D26912" w:rsidRDefault="00D26912" w:rsidP="00D26912">
      <w:pPr>
        <w:spacing w:before="150" w:after="300"/>
        <w:ind w:left="567" w:right="141"/>
        <w:jc w:val="center"/>
        <w:rPr>
          <w:rFonts w:ascii="Arial" w:hAnsi="Arial" w:cs="Arial"/>
          <w:color w:val="000000"/>
          <w:sz w:val="22"/>
          <w:szCs w:val="22"/>
          <w:lang w:val="es-ES"/>
        </w:rPr>
      </w:pPr>
      <w:r w:rsidRPr="00D26912">
        <w:rPr>
          <w:rFonts w:ascii="Arial" w:hAnsi="Arial" w:cs="Arial"/>
          <w:color w:val="000000"/>
          <w:sz w:val="22"/>
          <w:szCs w:val="22"/>
          <w:lang w:val="es-ES"/>
        </w:rPr>
        <w:t>Del estado de excedencia</w:t>
      </w:r>
    </w:p>
    <w:p w:rsidR="00D26912" w:rsidRPr="00D26912" w:rsidRDefault="00D26912" w:rsidP="00D26912">
      <w:pPr>
        <w:spacing w:before="150" w:after="300"/>
        <w:ind w:left="567" w:right="141"/>
        <w:rPr>
          <w:rFonts w:ascii="Arial" w:hAnsi="Arial" w:cs="Arial"/>
          <w:b/>
          <w:bCs/>
          <w:color w:val="000000"/>
          <w:sz w:val="22"/>
          <w:szCs w:val="22"/>
          <w:lang w:val="es-ES"/>
        </w:rPr>
      </w:pPr>
      <w:r w:rsidRPr="00D26912">
        <w:rPr>
          <w:rFonts w:ascii="Arial" w:hAnsi="Arial" w:cs="Arial"/>
          <w:b/>
          <w:bCs/>
          <w:color w:val="000000"/>
          <w:sz w:val="22"/>
          <w:szCs w:val="22"/>
          <w:lang w:val="es-ES"/>
        </w:rPr>
        <w:t>Art. 183. —Distintas situaciones. Opción en favor de la mujer.</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 xml:space="preserve">La mujer trabajadora que, vigente la relación laboral, tuviera un hijo y </w:t>
      </w:r>
      <w:proofErr w:type="gramStart"/>
      <w:r w:rsidRPr="00D26912">
        <w:rPr>
          <w:rFonts w:ascii="Arial" w:hAnsi="Arial" w:cs="Arial"/>
          <w:color w:val="000000"/>
          <w:sz w:val="22"/>
          <w:szCs w:val="22"/>
          <w:lang w:val="es-ES"/>
        </w:rPr>
        <w:t>continuara</w:t>
      </w:r>
      <w:proofErr w:type="gramEnd"/>
      <w:r w:rsidRPr="00D26912">
        <w:rPr>
          <w:rFonts w:ascii="Arial" w:hAnsi="Arial" w:cs="Arial"/>
          <w:color w:val="000000"/>
          <w:sz w:val="22"/>
          <w:szCs w:val="22"/>
          <w:lang w:val="es-ES"/>
        </w:rPr>
        <w:t xml:space="preserve"> residiendo en el país podrá optar entre las siguientes situaciones:</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a) Continuar su trabajo en la empresa, en las mismas condiciones en que lo venía haciendo.</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b) Rescindir su contrato de trabajo, percibiendo la compensación por tiempo de servicio que se le asigna por este inciso, o los mayores beneficios que surjan de los estatutos profesionales o convenciones colectivas de trabajo.</w:t>
      </w:r>
    </w:p>
    <w:p w:rsidR="00D26912" w:rsidRPr="00D26912" w:rsidRDefault="00D26912" w:rsidP="00D26912">
      <w:pPr>
        <w:spacing w:before="150" w:after="300"/>
        <w:ind w:left="567" w:right="141"/>
        <w:jc w:val="both"/>
        <w:rPr>
          <w:rFonts w:ascii="Arial" w:hAnsi="Arial" w:cs="Arial"/>
          <w:color w:val="000000"/>
          <w:sz w:val="22"/>
          <w:szCs w:val="22"/>
          <w:lang w:val="es-ES"/>
        </w:rPr>
      </w:pPr>
      <w:r w:rsidRPr="00D26912">
        <w:rPr>
          <w:rFonts w:ascii="Arial" w:hAnsi="Arial" w:cs="Arial"/>
          <w:color w:val="000000"/>
          <w:sz w:val="22"/>
          <w:szCs w:val="22"/>
          <w:lang w:val="es-ES"/>
        </w:rPr>
        <w:t>En tal caso, la compensación será equivalente al veinticinco por ciento (25%) de la remuneración de la trabajadora, calculada en base al promedio fijado en el artículo 245 por cada año de servicio, la que no podrá exceder de un salario mínimo vital por año de servicio o fracción mayor de tres (3) meses.</w:t>
      </w:r>
    </w:p>
    <w:p w:rsidR="00D26912" w:rsidRPr="00D26912" w:rsidRDefault="00D26912" w:rsidP="00D26912">
      <w:pPr>
        <w:spacing w:before="150" w:after="300"/>
        <w:ind w:left="600" w:right="600"/>
        <w:jc w:val="both"/>
        <w:rPr>
          <w:rFonts w:ascii="Arial" w:hAnsi="Arial" w:cs="Arial"/>
          <w:color w:val="000000"/>
          <w:sz w:val="22"/>
          <w:szCs w:val="22"/>
          <w:lang w:val="es-ES"/>
        </w:rPr>
      </w:pPr>
      <w:r w:rsidRPr="00D26912">
        <w:rPr>
          <w:rFonts w:ascii="Arial" w:hAnsi="Arial" w:cs="Arial"/>
          <w:color w:val="000000"/>
          <w:sz w:val="22"/>
          <w:szCs w:val="22"/>
          <w:lang w:val="es-ES"/>
        </w:rPr>
        <w:t>c) Quedar en situación de excedencia por un período no inferior a tres (3) meses ni superior a seis (6) meses.</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 xml:space="preserve">Se considera situación de excedencia la que asuma voluntariamente la mujer trabajadora que le permite reintegrarse a las tareas que desempeñaba en la empresa a la época del alumbramiento, dentro de los plazos fijados. La mujer trabajadora que hallándose en situación de excedencia </w:t>
      </w:r>
      <w:proofErr w:type="gramStart"/>
      <w:r w:rsidRPr="00D26912">
        <w:rPr>
          <w:rFonts w:ascii="Arial" w:hAnsi="Arial" w:cs="Arial"/>
          <w:color w:val="000000"/>
          <w:sz w:val="22"/>
          <w:szCs w:val="22"/>
          <w:lang w:val="es-ES"/>
        </w:rPr>
        <w:t>formalizara</w:t>
      </w:r>
      <w:proofErr w:type="gramEnd"/>
      <w:r w:rsidRPr="00D26912">
        <w:rPr>
          <w:rFonts w:ascii="Arial" w:hAnsi="Arial" w:cs="Arial"/>
          <w:color w:val="000000"/>
          <w:sz w:val="22"/>
          <w:szCs w:val="22"/>
          <w:lang w:val="es-ES"/>
        </w:rPr>
        <w:t xml:space="preserve"> nuevo contrato de trabajo con otro empleador quedará privada de pleno derecho de la facultad de reintegrarse.</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Lo normado en los incisos b) y c) del presente artículo es de aplicación para la madre en el supuesto justificado de cuidado de hijo enfermo menor de edad a su cargo, con los alcances y limitaciones que establezca la reglamentación.</w:t>
      </w:r>
    </w:p>
    <w:p w:rsidR="00D26912" w:rsidRPr="00D26912" w:rsidRDefault="00D26912" w:rsidP="00D26912">
      <w:pPr>
        <w:spacing w:before="150" w:after="300"/>
        <w:ind w:left="567" w:right="600"/>
        <w:rPr>
          <w:rFonts w:ascii="Arial" w:hAnsi="Arial" w:cs="Arial"/>
          <w:b/>
          <w:bCs/>
          <w:color w:val="000000"/>
          <w:sz w:val="22"/>
          <w:szCs w:val="22"/>
          <w:lang w:val="es-ES"/>
        </w:rPr>
      </w:pPr>
      <w:r w:rsidRPr="00D26912">
        <w:rPr>
          <w:rFonts w:ascii="Arial" w:hAnsi="Arial" w:cs="Arial"/>
          <w:b/>
          <w:bCs/>
          <w:color w:val="000000"/>
          <w:sz w:val="22"/>
          <w:szCs w:val="22"/>
          <w:lang w:val="es-ES"/>
        </w:rPr>
        <w:t>Art. 184. —Reingreso.</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 xml:space="preserve">El reintegro de la mujer trabajadora en situación de excedencia deberá producirse al término del período por el que </w:t>
      </w:r>
      <w:proofErr w:type="gramStart"/>
      <w:r w:rsidRPr="00D26912">
        <w:rPr>
          <w:rFonts w:ascii="Arial" w:hAnsi="Arial" w:cs="Arial"/>
          <w:color w:val="000000"/>
          <w:sz w:val="22"/>
          <w:szCs w:val="22"/>
          <w:lang w:val="es-ES"/>
        </w:rPr>
        <w:t>optara</w:t>
      </w:r>
      <w:proofErr w:type="gramEnd"/>
      <w:r w:rsidRPr="00D26912">
        <w:rPr>
          <w:rFonts w:ascii="Arial" w:hAnsi="Arial" w:cs="Arial"/>
          <w:color w:val="000000"/>
          <w:sz w:val="22"/>
          <w:szCs w:val="22"/>
          <w:lang w:val="es-ES"/>
        </w:rPr>
        <w:t>.</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El empleador podrá disponerlo:</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a) En cargo de la misma categoría que tenía al momento del alumbramiento o de la enfermedad del hijo.</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b) En cargo o empleo superior o inferior al indicado, de común acuerdo con la mujer trabajadora.</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Si no fuese admitida, será indemnizada como si se tratara de despido injustificado, salvo que el empleador demostrara la imposibilidad de reincorporarla, en cuyo caso la indemnización se limitará a la prevista en el artículo 183, inciso b) párrafo final.</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Los plazos de excedencia no se computarán como tiempo de servicio.</w:t>
      </w:r>
    </w:p>
    <w:p w:rsidR="00D26912" w:rsidRPr="00D26912" w:rsidRDefault="00D26912" w:rsidP="00D26912">
      <w:pPr>
        <w:spacing w:before="150" w:after="300"/>
        <w:ind w:left="567" w:right="600"/>
        <w:rPr>
          <w:rFonts w:ascii="Arial" w:hAnsi="Arial" w:cs="Arial"/>
          <w:b/>
          <w:bCs/>
          <w:color w:val="000000"/>
          <w:sz w:val="22"/>
          <w:szCs w:val="22"/>
          <w:lang w:val="es-ES"/>
        </w:rPr>
      </w:pPr>
      <w:r w:rsidRPr="00D26912">
        <w:rPr>
          <w:rFonts w:ascii="Arial" w:hAnsi="Arial" w:cs="Arial"/>
          <w:b/>
          <w:bCs/>
          <w:color w:val="000000"/>
          <w:sz w:val="22"/>
          <w:szCs w:val="22"/>
          <w:lang w:val="es-ES"/>
        </w:rPr>
        <w:t>Art. 185. —Requisito de antigüedad.</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Para gozar de los derechos del artículo 183, apartado b) y c), de esta ley, la trabajadora deberá tener un (1) año de antigüedad, como mínimo, en la empresa.</w:t>
      </w:r>
    </w:p>
    <w:p w:rsidR="00D26912" w:rsidRPr="00D26912" w:rsidRDefault="00D26912" w:rsidP="00D26912">
      <w:pPr>
        <w:spacing w:before="150" w:after="300"/>
        <w:ind w:left="567" w:right="600"/>
        <w:rPr>
          <w:rFonts w:ascii="Arial" w:hAnsi="Arial" w:cs="Arial"/>
          <w:b/>
          <w:bCs/>
          <w:color w:val="000000"/>
          <w:sz w:val="22"/>
          <w:szCs w:val="22"/>
          <w:lang w:val="es-ES"/>
        </w:rPr>
      </w:pPr>
      <w:r w:rsidRPr="00D26912">
        <w:rPr>
          <w:rFonts w:ascii="Arial" w:hAnsi="Arial" w:cs="Arial"/>
          <w:b/>
          <w:bCs/>
          <w:color w:val="000000"/>
          <w:sz w:val="22"/>
          <w:szCs w:val="22"/>
          <w:lang w:val="es-ES"/>
        </w:rPr>
        <w:t>Art. 186. —Opción tácita.</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 xml:space="preserve">Si la mujer no se reincorporara a su empleo luego de vencidos los plazos de licencia previstos por el artículo 177, y no </w:t>
      </w:r>
      <w:proofErr w:type="gramStart"/>
      <w:r w:rsidRPr="00D26912">
        <w:rPr>
          <w:rFonts w:ascii="Arial" w:hAnsi="Arial" w:cs="Arial"/>
          <w:color w:val="000000"/>
          <w:sz w:val="22"/>
          <w:szCs w:val="22"/>
          <w:lang w:val="es-ES"/>
        </w:rPr>
        <w:t>comunicara</w:t>
      </w:r>
      <w:proofErr w:type="gramEnd"/>
      <w:r w:rsidRPr="00D26912">
        <w:rPr>
          <w:rFonts w:ascii="Arial" w:hAnsi="Arial" w:cs="Arial"/>
          <w:color w:val="000000"/>
          <w:sz w:val="22"/>
          <w:szCs w:val="22"/>
          <w:lang w:val="es-ES"/>
        </w:rPr>
        <w:t xml:space="preserve"> a su empleador dentro de las cuarenta y ocho (48) horas anteriores a la finalización de los mismos, que se acoge a los plazos de excedencia, se entenderá que opta por la percepción de la compensación establecida en el artículo 183 inciso b) párrafo final.</w:t>
      </w:r>
    </w:p>
    <w:p w:rsidR="00D26912" w:rsidRPr="00D26912" w:rsidRDefault="00D26912" w:rsidP="00D26912">
      <w:pPr>
        <w:spacing w:before="150" w:after="300"/>
        <w:ind w:left="567" w:right="600"/>
        <w:jc w:val="both"/>
        <w:rPr>
          <w:rFonts w:ascii="Arial" w:hAnsi="Arial" w:cs="Arial"/>
          <w:color w:val="000000"/>
          <w:sz w:val="22"/>
          <w:szCs w:val="22"/>
          <w:lang w:val="es-ES"/>
        </w:rPr>
      </w:pPr>
      <w:r w:rsidRPr="00D26912">
        <w:rPr>
          <w:rFonts w:ascii="Arial" w:hAnsi="Arial" w:cs="Arial"/>
          <w:color w:val="000000"/>
          <w:sz w:val="22"/>
          <w:szCs w:val="22"/>
          <w:lang w:val="es-ES"/>
        </w:rPr>
        <w:t>El derecho que se reconoce a la mujer trabajadora en mérito a lo antes dispuesto no enerva los derechos que le corresponden a la misma por aplicación de otras normas.</w:t>
      </w:r>
    </w:p>
    <w:p w:rsidR="00D26912" w:rsidRPr="00D26912" w:rsidRDefault="00D26912" w:rsidP="00D26912">
      <w:pPr>
        <w:spacing w:before="150" w:after="300"/>
        <w:ind w:left="567" w:right="600"/>
        <w:jc w:val="both"/>
        <w:rPr>
          <w:rFonts w:ascii="Arial" w:hAnsi="Arial" w:cs="Arial"/>
          <w:color w:val="000000"/>
          <w:sz w:val="22"/>
          <w:szCs w:val="22"/>
          <w:lang w:val="es-ES"/>
        </w:rPr>
      </w:pPr>
    </w:p>
    <w:p w:rsidR="00D26912" w:rsidRPr="00D26912" w:rsidRDefault="00D26912" w:rsidP="00D26912">
      <w:pPr>
        <w:spacing w:before="150" w:after="300"/>
        <w:ind w:left="567" w:right="600"/>
        <w:jc w:val="both"/>
        <w:rPr>
          <w:rFonts w:ascii="Arial" w:hAnsi="Arial" w:cs="Arial"/>
          <w:color w:val="000000"/>
          <w:sz w:val="22"/>
          <w:szCs w:val="22"/>
          <w:lang w:val="es-ES"/>
        </w:rPr>
      </w:pPr>
    </w:p>
    <w:p w:rsidR="00D26912" w:rsidRPr="00D26912" w:rsidRDefault="00D26912" w:rsidP="00D26912">
      <w:pPr>
        <w:pBdr>
          <w:top w:val="single" w:sz="4" w:space="1" w:color="auto"/>
          <w:left w:val="single" w:sz="4" w:space="4" w:color="auto"/>
          <w:bottom w:val="single" w:sz="4" w:space="1" w:color="auto"/>
          <w:right w:val="single" w:sz="4" w:space="4" w:color="auto"/>
        </w:pBdr>
        <w:spacing w:before="80" w:line="276" w:lineRule="auto"/>
        <w:ind w:right="105" w:firstLine="480"/>
        <w:jc w:val="both"/>
        <w:rPr>
          <w:rFonts w:ascii="Arial" w:hAnsi="Arial" w:cs="Arial"/>
          <w:sz w:val="22"/>
          <w:szCs w:val="22"/>
          <w:lang w:val="es-ES"/>
        </w:rPr>
      </w:pPr>
      <w:r w:rsidRPr="00D26912">
        <w:rPr>
          <w:rFonts w:ascii="Arial" w:hAnsi="Arial" w:cs="Arial"/>
          <w:sz w:val="22"/>
          <w:szCs w:val="22"/>
          <w:lang w:val="es-ES"/>
        </w:rPr>
        <w:t>Cabe aclarar que cada situación requiere un análisis particular. Ante cualquier consulta n</w:t>
      </w:r>
      <w:r>
        <w:rPr>
          <w:rFonts w:ascii="Arial" w:hAnsi="Arial" w:cs="Arial"/>
          <w:sz w:val="22"/>
          <w:szCs w:val="22"/>
          <w:lang w:val="es-ES"/>
        </w:rPr>
        <w:t xml:space="preserve">o duden en escribirnos a </w:t>
      </w:r>
      <w:hyperlink r:id="rId7" w:history="1">
        <w:r w:rsidRPr="007F3157">
          <w:rPr>
            <w:rStyle w:val="Hipervnculo"/>
            <w:rFonts w:ascii="Arial" w:hAnsi="Arial" w:cs="Arial"/>
            <w:sz w:val="22"/>
            <w:szCs w:val="22"/>
            <w:lang w:val="es-ES"/>
          </w:rPr>
          <w:t>correo@redeseducacion.com</w:t>
        </w:r>
      </w:hyperlink>
      <w:r>
        <w:rPr>
          <w:rFonts w:ascii="Arial" w:hAnsi="Arial" w:cs="Arial"/>
          <w:sz w:val="22"/>
          <w:szCs w:val="22"/>
          <w:lang w:val="es-ES"/>
        </w:rPr>
        <w:t xml:space="preserve"> consignando un número de celular.</w:t>
      </w:r>
    </w:p>
    <w:p w:rsidR="00D26912" w:rsidRPr="00D26912" w:rsidRDefault="00D26912" w:rsidP="00D26912">
      <w:pPr>
        <w:spacing w:after="150" w:line="360" w:lineRule="auto"/>
        <w:ind w:left="426"/>
        <w:jc w:val="both"/>
        <w:rPr>
          <w:rFonts w:ascii="Arial" w:hAnsi="Arial" w:cs="Arial"/>
          <w:sz w:val="22"/>
          <w:szCs w:val="22"/>
          <w:lang w:val="es-ES"/>
        </w:rPr>
      </w:pPr>
      <w:r w:rsidRPr="00D26912">
        <w:rPr>
          <w:rFonts w:ascii="Arial" w:hAnsi="Arial" w:cs="Arial"/>
          <w:sz w:val="22"/>
          <w:szCs w:val="22"/>
          <w:lang w:val="es-ES"/>
        </w:rPr>
        <w:tab/>
      </w:r>
      <w:r w:rsidRPr="00D26912">
        <w:rPr>
          <w:rFonts w:ascii="Arial" w:hAnsi="Arial" w:cs="Arial"/>
          <w:sz w:val="22"/>
          <w:szCs w:val="22"/>
          <w:lang w:val="es-ES"/>
        </w:rPr>
        <w:tab/>
      </w:r>
      <w:r w:rsidRPr="00D26912">
        <w:rPr>
          <w:rFonts w:ascii="Arial" w:hAnsi="Arial" w:cs="Arial"/>
          <w:sz w:val="22"/>
          <w:szCs w:val="22"/>
          <w:lang w:val="es-ES"/>
        </w:rPr>
        <w:tab/>
      </w:r>
      <w:r w:rsidRPr="00D26912">
        <w:rPr>
          <w:rFonts w:ascii="Arial" w:hAnsi="Arial" w:cs="Arial"/>
          <w:color w:val="000000"/>
          <w:sz w:val="22"/>
          <w:szCs w:val="22"/>
          <w:lang w:val="es-ES"/>
        </w:rPr>
        <w:t xml:space="preserve"> </w:t>
      </w:r>
    </w:p>
    <w:p w:rsidR="00D26912" w:rsidRPr="00D26912" w:rsidRDefault="00D26912" w:rsidP="00D26912">
      <w:pPr>
        <w:spacing w:line="360" w:lineRule="auto"/>
        <w:ind w:left="426"/>
        <w:jc w:val="right"/>
        <w:rPr>
          <w:rFonts w:ascii="Arial" w:hAnsi="Arial" w:cs="Arial"/>
          <w:sz w:val="22"/>
          <w:szCs w:val="22"/>
          <w:lang w:val="es-ES"/>
        </w:rPr>
      </w:pPr>
    </w:p>
    <w:p w:rsidR="00D26912" w:rsidRPr="00D26912" w:rsidRDefault="00D26912" w:rsidP="00D26912">
      <w:pPr>
        <w:spacing w:line="360" w:lineRule="auto"/>
        <w:ind w:left="426"/>
        <w:jc w:val="right"/>
        <w:rPr>
          <w:rFonts w:ascii="Arial" w:hAnsi="Arial" w:cs="Arial"/>
          <w:sz w:val="22"/>
          <w:szCs w:val="22"/>
          <w:lang w:val="es-ES"/>
        </w:rPr>
      </w:pPr>
      <w:r w:rsidRPr="00D26912">
        <w:rPr>
          <w:rFonts w:ascii="Arial" w:hAnsi="Arial" w:cs="Arial"/>
          <w:sz w:val="22"/>
          <w:szCs w:val="22"/>
          <w:lang w:val="es-ES"/>
        </w:rPr>
        <w:t>Equipo REDES</w:t>
      </w:r>
    </w:p>
    <w:p w:rsidR="00D26912" w:rsidRDefault="00D26912">
      <w:pPr>
        <w:rPr>
          <w:rFonts w:ascii="Arial" w:hAnsi="Arial"/>
          <w:sz w:val="24"/>
        </w:rPr>
      </w:pPr>
    </w:p>
    <w:sectPr w:rsidR="00D26912">
      <w:headerReference w:type="default" r:id="rId8"/>
      <w:footerReference w:type="even" r:id="rId9"/>
      <w:footerReference w:type="default" r:id="rId10"/>
      <w:type w:val="continuous"/>
      <w:pgSz w:w="12242" w:h="20163" w:code="5"/>
      <w:pgMar w:top="1701" w:right="1134" w:bottom="1560" w:left="1134" w:header="425" w:footer="28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A2" w:rsidRDefault="00E05DA2">
      <w:r>
        <w:separator/>
      </w:r>
    </w:p>
  </w:endnote>
  <w:endnote w:type="continuationSeparator" w:id="0">
    <w:p w:rsidR="00E05DA2" w:rsidRDefault="00E0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E05DA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00000" w:rsidRDefault="00E05DA2">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E05DA2">
    <w:pPr>
      <w:pBdr>
        <w:top w:val="single" w:sz="4" w:space="1" w:color="auto"/>
      </w:pBdr>
      <w:jc w:val="center"/>
      <w:rPr>
        <w:rFonts w:ascii="Arial" w:hAnsi="Arial"/>
        <w:b/>
        <w:snapToGrid w:val="0"/>
        <w:color w:val="000080"/>
        <w:sz w:val="18"/>
        <w:lang w:val="es-ES"/>
      </w:rPr>
    </w:pPr>
  </w:p>
  <w:p w:rsidR="00000000" w:rsidRDefault="00E05DA2">
    <w:pPr>
      <w:pBdr>
        <w:top w:val="single" w:sz="4" w:space="1" w:color="auto"/>
      </w:pBdr>
      <w:jc w:val="center"/>
      <w:rPr>
        <w:rFonts w:ascii="Arial" w:hAnsi="Arial"/>
        <w:b/>
        <w:snapToGrid w:val="0"/>
        <w:color w:val="000080"/>
        <w:sz w:val="18"/>
        <w:lang w:val="es-ES"/>
      </w:rPr>
    </w:pPr>
    <w:r>
      <w:rPr>
        <w:rFonts w:ascii="Arial" w:hAnsi="Arial"/>
        <w:b/>
        <w:snapToGrid w:val="0"/>
        <w:color w:val="000080"/>
        <w:sz w:val="18"/>
        <w:lang w:val="es-ES"/>
      </w:rPr>
      <w:t>Godoy Cruz 2769 3º Piso (1425) Buenos Aires - Tel.: (011) 4776-5200 (L. Rotativas) / Fax: (011) 4776-5300</w:t>
    </w:r>
  </w:p>
  <w:p w:rsidR="00000000" w:rsidRDefault="00E05DA2">
    <w:pPr>
      <w:pStyle w:val="Piedepgina"/>
      <w:jc w:val="center"/>
      <w:rPr>
        <w:rFonts w:ascii="Arial" w:hAnsi="Arial"/>
        <w:b/>
        <w:snapToGrid w:val="0"/>
        <w:color w:val="000080"/>
        <w:sz w:val="18"/>
        <w:lang w:val="es-ES"/>
      </w:rPr>
    </w:pPr>
    <w:r>
      <w:rPr>
        <w:rFonts w:ascii="Arial" w:hAnsi="Arial"/>
        <w:b/>
        <w:snapToGrid w:val="0"/>
        <w:color w:val="000080"/>
        <w:sz w:val="18"/>
        <w:lang w:val="es-ES"/>
      </w:rPr>
      <w:t>e-mail: correo@redeseducacion.com.ar  </w:t>
    </w:r>
  </w:p>
  <w:p w:rsidR="00000000" w:rsidRDefault="00E05DA2">
    <w:pPr>
      <w:pStyle w:val="Piedepgina"/>
      <w:jc w:val="center"/>
      <w:rPr>
        <w:rFonts w:ascii="Arial" w:hAnsi="Arial"/>
        <w:b/>
        <w:snapToGrid w:val="0"/>
        <w:color w:val="000080"/>
        <w:sz w:val="18"/>
        <w:lang w:val="es-ES"/>
      </w:rPr>
    </w:pPr>
    <w:r>
      <w:rPr>
        <w:rFonts w:ascii="Arial" w:hAnsi="Arial"/>
        <w:b/>
        <w:snapToGrid w:val="0"/>
        <w:color w:val="000080"/>
        <w:sz w:val="18"/>
        <w:lang w:val="es-ES"/>
      </w:rPr>
      <w:t>  </w:t>
    </w:r>
  </w:p>
  <w:p w:rsidR="00000000" w:rsidRDefault="00E05DA2">
    <w:pPr>
      <w:pStyle w:val="Piedepgina"/>
      <w:jc w:val="center"/>
      <w:rPr>
        <w:color w:val="000080"/>
      </w:rPr>
    </w:pPr>
    <w:r>
      <w:rPr>
        <w:rFonts w:ascii="Arial" w:hAnsi="Arial"/>
        <w:b/>
        <w:snapToGrid w:val="0"/>
        <w:color w:val="000080"/>
        <w:lang w:val="es-ES"/>
      </w:rPr>
      <w:t>WebSite: www.redeseducacion.com.ar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A2" w:rsidRDefault="00E05DA2">
      <w:r>
        <w:separator/>
      </w:r>
    </w:p>
  </w:footnote>
  <w:footnote w:type="continuationSeparator" w:id="0">
    <w:p w:rsidR="00E05DA2" w:rsidRDefault="00E05D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26912">
    <w:pPr>
      <w:pStyle w:val="Encabezado"/>
      <w:rPr>
        <w:noProof/>
      </w:rPr>
    </w:pPr>
    <w:r>
      <w:rPr>
        <w:noProof/>
        <w:lang w:val="en-US" w:eastAsia="en-US"/>
      </w:rPr>
      <w:drawing>
        <wp:inline distT="0" distB="0" distL="0" distR="0">
          <wp:extent cx="1838325" cy="542925"/>
          <wp:effectExtent l="0" t="0" r="0" b="0"/>
          <wp:docPr id="1" name="Imagen 1" descr="C:\PM5\REDES\IMAGES\Red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M5\REDES\IMAGES\Red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542925"/>
                  </a:xfrm>
                  <a:prstGeom prst="rect">
                    <a:avLst/>
                  </a:prstGeom>
                  <a:noFill/>
                  <a:ln>
                    <a:noFill/>
                  </a:ln>
                </pic:spPr>
              </pic:pic>
            </a:graphicData>
          </a:graphic>
        </wp:inline>
      </w:drawing>
    </w:r>
  </w:p>
  <w:p w:rsidR="00000000" w:rsidRDefault="00E05DA2">
    <w:pPr>
      <w:pStyle w:val="Encabezado"/>
      <w:pBdr>
        <w:bottom w:val="single" w:sz="4" w:space="1" w:color="auto"/>
      </w:pBdr>
      <w:rPr>
        <w:rFonts w:ascii="Arial" w:hAnsi="Arial"/>
        <w:b/>
        <w:noProof/>
        <w:color w:val="000080"/>
      </w:rPr>
    </w:pPr>
    <w:r>
      <w:rPr>
        <w:rFonts w:ascii="Arial" w:hAnsi="Arial"/>
        <w:b/>
        <w:noProof/>
        <w:color w:val="000080"/>
      </w:rPr>
      <w:t>PARA LA ORGANIZACION Y ADMINISTRACION ESCOLAR S.A.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59A585A"/>
    <w:multiLevelType w:val="singleLevel"/>
    <w:tmpl w:val="0C0A0017"/>
    <w:lvl w:ilvl="0">
      <w:start w:val="1"/>
      <w:numFmt w:val="lowerLetter"/>
      <w:lvlText w:val="%1)"/>
      <w:lvlJc w:val="left"/>
      <w:pPr>
        <w:tabs>
          <w:tab w:val="num" w:pos="360"/>
        </w:tabs>
        <w:ind w:left="360" w:hanging="360"/>
      </w:pPr>
      <w:rPr>
        <w:rFonts w:hint="default"/>
      </w:rPr>
    </w:lvl>
  </w:abstractNum>
  <w:abstractNum w:abstractNumId="2" w15:restartNumberingAfterBreak="0">
    <w:nsid w:val="3CA72019"/>
    <w:multiLevelType w:val="hybridMultilevel"/>
    <w:tmpl w:val="810AF6B0"/>
    <w:lvl w:ilvl="0" w:tplc="0C0A000B">
      <w:start w:val="1"/>
      <w:numFmt w:val="bullet"/>
      <w:lvlText w:val=""/>
      <w:lvlJc w:val="left"/>
      <w:pPr>
        <w:ind w:left="1200" w:hanging="360"/>
      </w:pPr>
      <w:rPr>
        <w:rFonts w:ascii="Wingdings" w:hAnsi="Wingdings" w:hint="default"/>
      </w:rPr>
    </w:lvl>
    <w:lvl w:ilvl="1" w:tplc="0C0A0003" w:tentative="1">
      <w:start w:val="1"/>
      <w:numFmt w:val="bullet"/>
      <w:lvlText w:val="o"/>
      <w:lvlJc w:val="left"/>
      <w:pPr>
        <w:ind w:left="1920" w:hanging="360"/>
      </w:pPr>
      <w:rPr>
        <w:rFonts w:ascii="Courier New" w:hAnsi="Courier New" w:cs="Courier New" w:hint="default"/>
      </w:rPr>
    </w:lvl>
    <w:lvl w:ilvl="2" w:tplc="0C0A0005" w:tentative="1">
      <w:start w:val="1"/>
      <w:numFmt w:val="bullet"/>
      <w:lvlText w:val=""/>
      <w:lvlJc w:val="left"/>
      <w:pPr>
        <w:ind w:left="2640" w:hanging="360"/>
      </w:pPr>
      <w:rPr>
        <w:rFonts w:ascii="Wingdings" w:hAnsi="Wingdings" w:hint="default"/>
      </w:rPr>
    </w:lvl>
    <w:lvl w:ilvl="3" w:tplc="0C0A0001" w:tentative="1">
      <w:start w:val="1"/>
      <w:numFmt w:val="bullet"/>
      <w:lvlText w:val=""/>
      <w:lvlJc w:val="left"/>
      <w:pPr>
        <w:ind w:left="3360" w:hanging="360"/>
      </w:pPr>
      <w:rPr>
        <w:rFonts w:ascii="Symbol" w:hAnsi="Symbol" w:hint="default"/>
      </w:rPr>
    </w:lvl>
    <w:lvl w:ilvl="4" w:tplc="0C0A0003" w:tentative="1">
      <w:start w:val="1"/>
      <w:numFmt w:val="bullet"/>
      <w:lvlText w:val="o"/>
      <w:lvlJc w:val="left"/>
      <w:pPr>
        <w:ind w:left="4080" w:hanging="360"/>
      </w:pPr>
      <w:rPr>
        <w:rFonts w:ascii="Courier New" w:hAnsi="Courier New" w:cs="Courier New" w:hint="default"/>
      </w:rPr>
    </w:lvl>
    <w:lvl w:ilvl="5" w:tplc="0C0A0005" w:tentative="1">
      <w:start w:val="1"/>
      <w:numFmt w:val="bullet"/>
      <w:lvlText w:val=""/>
      <w:lvlJc w:val="left"/>
      <w:pPr>
        <w:ind w:left="4800" w:hanging="360"/>
      </w:pPr>
      <w:rPr>
        <w:rFonts w:ascii="Wingdings" w:hAnsi="Wingdings" w:hint="default"/>
      </w:rPr>
    </w:lvl>
    <w:lvl w:ilvl="6" w:tplc="0C0A0001" w:tentative="1">
      <w:start w:val="1"/>
      <w:numFmt w:val="bullet"/>
      <w:lvlText w:val=""/>
      <w:lvlJc w:val="left"/>
      <w:pPr>
        <w:ind w:left="5520" w:hanging="360"/>
      </w:pPr>
      <w:rPr>
        <w:rFonts w:ascii="Symbol" w:hAnsi="Symbol" w:hint="default"/>
      </w:rPr>
    </w:lvl>
    <w:lvl w:ilvl="7" w:tplc="0C0A0003" w:tentative="1">
      <w:start w:val="1"/>
      <w:numFmt w:val="bullet"/>
      <w:lvlText w:val="o"/>
      <w:lvlJc w:val="left"/>
      <w:pPr>
        <w:ind w:left="6240" w:hanging="360"/>
      </w:pPr>
      <w:rPr>
        <w:rFonts w:ascii="Courier New" w:hAnsi="Courier New" w:cs="Courier New" w:hint="default"/>
      </w:rPr>
    </w:lvl>
    <w:lvl w:ilvl="8" w:tplc="0C0A0005" w:tentative="1">
      <w:start w:val="1"/>
      <w:numFmt w:val="bullet"/>
      <w:lvlText w:val=""/>
      <w:lvlJc w:val="left"/>
      <w:pPr>
        <w:ind w:left="6960" w:hanging="360"/>
      </w:pPr>
      <w:rPr>
        <w:rFonts w:ascii="Wingdings" w:hAnsi="Wingdings" w:hint="default"/>
      </w:rPr>
    </w:lvl>
  </w:abstractNum>
  <w:abstractNum w:abstractNumId="3" w15:restartNumberingAfterBreak="0">
    <w:nsid w:val="4CF50912"/>
    <w:multiLevelType w:val="hybridMultilevel"/>
    <w:tmpl w:val="C02AACAC"/>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4" w15:restartNumberingAfterBreak="0">
    <w:nsid w:val="52085683"/>
    <w:multiLevelType w:val="hybridMultilevel"/>
    <w:tmpl w:val="644C1FB0"/>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54DB2336"/>
    <w:multiLevelType w:val="singleLevel"/>
    <w:tmpl w:val="0C0A0017"/>
    <w:lvl w:ilvl="0">
      <w:start w:val="1"/>
      <w:numFmt w:val="lowerLetter"/>
      <w:lvlText w:val="%1)"/>
      <w:lvlJc w:val="left"/>
      <w:pPr>
        <w:tabs>
          <w:tab w:val="num" w:pos="360"/>
        </w:tabs>
        <w:ind w:left="360" w:hanging="360"/>
      </w:pPr>
      <w:rPr>
        <w:rFonts w:hint="default"/>
      </w:rPr>
    </w:lvl>
  </w:abstractNum>
  <w:abstractNum w:abstractNumId="6" w15:restartNumberingAfterBreak="0">
    <w:nsid w:val="6A61644C"/>
    <w:multiLevelType w:val="singleLevel"/>
    <w:tmpl w:val="0C0A0013"/>
    <w:lvl w:ilvl="0">
      <w:start w:val="1"/>
      <w:numFmt w:val="upperRoman"/>
      <w:lvlText w:val="%1."/>
      <w:lvlJc w:val="left"/>
      <w:pPr>
        <w:tabs>
          <w:tab w:val="num" w:pos="720"/>
        </w:tabs>
        <w:ind w:left="720" w:hanging="720"/>
      </w:pPr>
    </w:lvl>
  </w:abstractNum>
  <w:abstractNum w:abstractNumId="7" w15:restartNumberingAfterBreak="0">
    <w:nsid w:val="79E227A0"/>
    <w:multiLevelType w:val="hybridMultilevel"/>
    <w:tmpl w:val="030423FC"/>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abstractNumId w:val="3"/>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onsecutiveHyphenLimit w:val="28257"/>
  <w:hyphenationZone w:val="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912"/>
    <w:rsid w:val="009747D4"/>
    <w:rsid w:val="00D26912"/>
    <w:rsid w:val="00E05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CBB80"/>
  <w15:chartTrackingRefBased/>
  <w15:docId w15:val="{690E97D2-4761-4FA8-97D9-9A6A062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AR" w:eastAsia="es-ES"/>
    </w:rPr>
  </w:style>
  <w:style w:type="paragraph" w:styleId="Ttulo1">
    <w:name w:val="heading 1"/>
    <w:basedOn w:val="Normal"/>
    <w:next w:val="Normal"/>
    <w:qFormat/>
    <w:pPr>
      <w:keepNext/>
      <w:outlineLvl w:val="0"/>
    </w:pPr>
    <w:rPr>
      <w:rFonts w:ascii="Times New Roman" w:hAnsi="Times New Roman"/>
      <w:sz w:val="36"/>
      <w:lang w:val="es-MX"/>
    </w:rPr>
  </w:style>
  <w:style w:type="paragraph" w:styleId="Ttulo4">
    <w:name w:val="heading 4"/>
    <w:basedOn w:val="Normal"/>
    <w:next w:val="Normal"/>
    <w:qFormat/>
    <w:pPr>
      <w:keepNext/>
      <w:outlineLvl w:val="3"/>
    </w:pPr>
    <w:rPr>
      <w:rFonts w:ascii="Times New Roman" w:hAnsi="Times New Roman"/>
      <w:b/>
      <w:sz w:val="44"/>
      <w:lang w:val="es-ES"/>
    </w:rPr>
  </w:style>
  <w:style w:type="paragraph" w:styleId="Ttulo5">
    <w:name w:val="heading 5"/>
    <w:basedOn w:val="Normal"/>
    <w:next w:val="Normal"/>
    <w:qFormat/>
    <w:pPr>
      <w:keepNext/>
      <w:jc w:val="center"/>
      <w:outlineLvl w:val="4"/>
    </w:pPr>
    <w:rPr>
      <w:rFonts w:ascii="Times New Roman" w:hAnsi="Times New Roman"/>
      <w:b/>
      <w:sz w:val="24"/>
      <w:lang w:val="es-ES"/>
    </w:rPr>
  </w:style>
  <w:style w:type="paragraph" w:styleId="Ttulo6">
    <w:name w:val="heading 6"/>
    <w:basedOn w:val="Normal"/>
    <w:next w:val="Normal"/>
    <w:qFormat/>
    <w:pPr>
      <w:keepNext/>
      <w:outlineLvl w:val="5"/>
    </w:pPr>
    <w:rPr>
      <w:rFonts w:ascii="Times New Roman" w:hAnsi="Times New Roman"/>
      <w:b/>
      <w:lang w:val="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mniPage1">
    <w:name w:val="OmniPage #1"/>
    <w:pPr>
      <w:tabs>
        <w:tab w:val="left" w:pos="50"/>
        <w:tab w:val="right" w:pos="8498"/>
      </w:tabs>
      <w:ind w:left="50" w:right="50"/>
    </w:pPr>
    <w:rPr>
      <w:lang w:eastAsia="es-ES"/>
    </w:rPr>
  </w:style>
  <w:style w:type="paragraph" w:customStyle="1" w:styleId="OmniPage2">
    <w:name w:val="OmniPage #2"/>
    <w:pPr>
      <w:tabs>
        <w:tab w:val="left" w:pos="50"/>
        <w:tab w:val="right" w:pos="3644"/>
      </w:tabs>
    </w:pPr>
    <w:rPr>
      <w:lang w:eastAsia="es-ES"/>
    </w:rPr>
  </w:style>
  <w:style w:type="paragraph" w:customStyle="1" w:styleId="OmniPage3">
    <w:name w:val="OmniPage #3"/>
    <w:pPr>
      <w:tabs>
        <w:tab w:val="left" w:pos="50"/>
        <w:tab w:val="right" w:pos="9168"/>
      </w:tabs>
      <w:jc w:val="both"/>
    </w:pPr>
    <w:rPr>
      <w:lang w:eastAsia="es-ES"/>
    </w:rPr>
  </w:style>
  <w:style w:type="paragraph" w:customStyle="1" w:styleId="OmniPage4">
    <w:name w:val="OmniPage #4"/>
    <w:pPr>
      <w:tabs>
        <w:tab w:val="left" w:pos="50"/>
        <w:tab w:val="right" w:pos="2109"/>
      </w:tabs>
    </w:pPr>
    <w:rPr>
      <w:lang w:eastAsia="es-ES"/>
    </w:rPr>
  </w:style>
  <w:style w:type="paragraph" w:customStyle="1" w:styleId="OmniPage5">
    <w:name w:val="OmniPage #5"/>
    <w:pPr>
      <w:tabs>
        <w:tab w:val="left" w:pos="50"/>
        <w:tab w:val="right" w:pos="9156"/>
      </w:tabs>
      <w:jc w:val="both"/>
    </w:pPr>
    <w:rPr>
      <w:lang w:eastAsia="es-ES"/>
    </w:rPr>
  </w:style>
  <w:style w:type="paragraph" w:customStyle="1" w:styleId="OmniPage6">
    <w:name w:val="OmniPage #6"/>
    <w:pPr>
      <w:tabs>
        <w:tab w:val="left" w:pos="50"/>
        <w:tab w:val="right" w:pos="9159"/>
      </w:tabs>
      <w:jc w:val="both"/>
    </w:pPr>
    <w:rPr>
      <w:lang w:eastAsia="es-ES"/>
    </w:rPr>
  </w:style>
  <w:style w:type="paragraph" w:customStyle="1" w:styleId="OmniPage7">
    <w:name w:val="OmniPage #7"/>
    <w:pPr>
      <w:tabs>
        <w:tab w:val="left" w:pos="50"/>
        <w:tab w:val="right" w:pos="9152"/>
      </w:tabs>
      <w:jc w:val="both"/>
    </w:pPr>
    <w:rPr>
      <w:lang w:eastAsia="es-ES"/>
    </w:rPr>
  </w:style>
  <w:style w:type="paragraph" w:customStyle="1" w:styleId="OmniPage8">
    <w:name w:val="OmniPage #8"/>
    <w:pPr>
      <w:tabs>
        <w:tab w:val="left" w:pos="50"/>
        <w:tab w:val="right" w:pos="9169"/>
      </w:tabs>
      <w:jc w:val="both"/>
    </w:pPr>
    <w:rPr>
      <w:lang w:eastAsia="es-ES"/>
    </w:rPr>
  </w:style>
  <w:style w:type="paragraph" w:customStyle="1" w:styleId="OmniPage9">
    <w:name w:val="OmniPage #9"/>
    <w:pPr>
      <w:tabs>
        <w:tab w:val="left" w:pos="50"/>
        <w:tab w:val="right" w:pos="9157"/>
      </w:tabs>
      <w:jc w:val="both"/>
    </w:pPr>
    <w:rPr>
      <w:lang w:eastAsia="es-ES"/>
    </w:rPr>
  </w:style>
  <w:style w:type="paragraph" w:customStyle="1" w:styleId="OmniPage10">
    <w:name w:val="OmniPage #10"/>
    <w:pPr>
      <w:tabs>
        <w:tab w:val="left" w:pos="50"/>
        <w:tab w:val="right" w:pos="9155"/>
      </w:tabs>
      <w:jc w:val="both"/>
    </w:pPr>
    <w:rPr>
      <w:lang w:eastAsia="es-ES"/>
    </w:rPr>
  </w:style>
  <w:style w:type="paragraph" w:customStyle="1" w:styleId="OmniPage11">
    <w:name w:val="OmniPage #11"/>
    <w:pPr>
      <w:tabs>
        <w:tab w:val="left" w:pos="50"/>
        <w:tab w:val="right" w:pos="135"/>
      </w:tabs>
    </w:pPr>
    <w:rPr>
      <w:lang w:eastAsia="es-ES"/>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style>
  <w:style w:type="character" w:styleId="Textoennegrita">
    <w:name w:val="Strong"/>
    <w:basedOn w:val="Fuentedeprrafopredeter"/>
    <w:qFormat/>
    <w:rPr>
      <w:b/>
    </w:rPr>
  </w:style>
  <w:style w:type="paragraph" w:customStyle="1" w:styleId="Blockquote">
    <w:name w:val="Blockquote"/>
    <w:basedOn w:val="Normal"/>
    <w:pPr>
      <w:widowControl w:val="0"/>
      <w:spacing w:before="100" w:after="100"/>
      <w:ind w:left="360" w:right="360"/>
    </w:pPr>
    <w:rPr>
      <w:rFonts w:ascii="Times New Roman" w:hAnsi="Times New Roman"/>
      <w:snapToGrid w:val="0"/>
      <w:sz w:val="24"/>
      <w:lang w:val="es-ES_tradnl"/>
    </w:rPr>
  </w:style>
  <w:style w:type="paragraph" w:styleId="Textoindependiente2">
    <w:name w:val="Body Text 2"/>
    <w:basedOn w:val="Normal"/>
    <w:semiHidden/>
    <w:pPr>
      <w:jc w:val="both"/>
    </w:pPr>
    <w:rPr>
      <w:rFonts w:ascii="Times New Roman" w:hAnsi="Times New Roman"/>
      <w:i/>
      <w:sz w:val="40"/>
      <w:lang w:val="es-ES"/>
    </w:rPr>
  </w:style>
  <w:style w:type="character" w:styleId="Hipervnculo">
    <w:name w:val="Hyperlink"/>
    <w:basedOn w:val="Fuentedeprrafopredeter"/>
    <w:uiPriority w:val="99"/>
    <w:unhideWhenUsed/>
    <w:rsid w:val="00D269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rreo@redeseducacio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s\Documents\Plantillas\MembreteG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MembreteGC</Template>
  <TotalTime>5</TotalTime>
  <Pages>1</Pages>
  <Words>1584</Words>
  <Characters>9033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Gobierno de la Ciudad de Buenos Aires</vt:lpstr>
    </vt:vector>
  </TitlesOfParts>
  <Company>REDES S.A.</Company>
  <LinksUpToDate>false</LinksUpToDate>
  <CharactersWithSpaces>10596</CharactersWithSpaces>
  <SharedDoc>false</SharedDoc>
  <HLinks>
    <vt:vector size="6" baseType="variant">
      <vt:variant>
        <vt:i4>7077929</vt:i4>
      </vt:variant>
      <vt:variant>
        <vt:i4>1025</vt:i4>
      </vt:variant>
      <vt:variant>
        <vt:i4>1025</vt:i4>
      </vt:variant>
      <vt:variant>
        <vt:i4>1</vt:i4>
      </vt:variant>
      <vt:variant>
        <vt:lpwstr>C:\PM5\REDES\IMAGES\Redes.gif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de la Ciudad de Buenos Aires</dc:title>
  <dc:subject/>
  <dc:creator>HP</dc:creator>
  <cp:keywords/>
  <cp:lastModifiedBy>HP</cp:lastModifiedBy>
  <cp:revision>1</cp:revision>
  <cp:lastPrinted>1998-05-15T16:55:00Z</cp:lastPrinted>
  <dcterms:created xsi:type="dcterms:W3CDTF">2022-03-17T16:13:00Z</dcterms:created>
  <dcterms:modified xsi:type="dcterms:W3CDTF">2022-03-17T16:17:00Z</dcterms:modified>
</cp:coreProperties>
</file>